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647A2" w14:textId="55971D57" w:rsidR="00F71D19" w:rsidRPr="00005674" w:rsidRDefault="00F71D19" w:rsidP="00005674">
      <w:pPr>
        <w:jc w:val="center"/>
        <w:rPr>
          <w:rFonts w:ascii="Verdana" w:hAnsi="Verdana"/>
          <w:b/>
          <w:bCs/>
          <w:sz w:val="22"/>
          <w:lang w:val="es-CR"/>
        </w:rPr>
      </w:pPr>
      <w:r w:rsidRPr="00AE3772">
        <w:rPr>
          <w:rFonts w:ascii="Verdana" w:hAnsi="Verdana"/>
          <w:b/>
          <w:bCs/>
          <w:sz w:val="22"/>
          <w:highlight w:val="green"/>
          <w:lang w:val="es-CR"/>
        </w:rPr>
        <w:t>Recomendaciones</w:t>
      </w:r>
      <w:r w:rsidR="009905A2" w:rsidRPr="00AE3772">
        <w:rPr>
          <w:rFonts w:ascii="Verdana" w:hAnsi="Verdana"/>
          <w:b/>
          <w:bCs/>
          <w:sz w:val="22"/>
          <w:highlight w:val="green"/>
          <w:lang w:val="es-CR"/>
        </w:rPr>
        <w:t xml:space="preserve"> para los envíos</w:t>
      </w:r>
      <w:r w:rsidRPr="00AE3772">
        <w:rPr>
          <w:rFonts w:ascii="Verdana" w:hAnsi="Verdana"/>
          <w:b/>
          <w:bCs/>
          <w:sz w:val="22"/>
          <w:highlight w:val="green"/>
          <w:lang w:val="es-CR"/>
        </w:rPr>
        <w:t>:</w:t>
      </w:r>
    </w:p>
    <w:p w14:paraId="33DC9935" w14:textId="62D727E9" w:rsidR="0045173D" w:rsidRPr="00005674" w:rsidRDefault="009905A2" w:rsidP="0045173D">
      <w:pPr>
        <w:rPr>
          <w:rFonts w:ascii="Verdana" w:hAnsi="Verdana"/>
          <w:sz w:val="22"/>
          <w:lang w:val="es-CR"/>
        </w:rPr>
      </w:pPr>
      <w:r w:rsidRPr="00005674">
        <w:rPr>
          <w:rFonts w:ascii="Verdana" w:hAnsi="Verdana"/>
          <w:sz w:val="22"/>
          <w:lang w:val="es-CR"/>
        </w:rPr>
        <w:t xml:space="preserve">En este archivo se organiza una carta genérica </w:t>
      </w:r>
      <w:r w:rsidR="0045173D" w:rsidRPr="00005674">
        <w:rPr>
          <w:rFonts w:ascii="Verdana" w:hAnsi="Verdana"/>
          <w:sz w:val="22"/>
          <w:lang w:val="es-CR"/>
        </w:rPr>
        <w:t>en donde se solicita a</w:t>
      </w:r>
      <w:r w:rsidR="001724BC" w:rsidRPr="00005674">
        <w:rPr>
          <w:rFonts w:ascii="Verdana" w:hAnsi="Verdana"/>
          <w:sz w:val="22"/>
          <w:lang w:val="es-CR"/>
        </w:rPr>
        <w:t xml:space="preserve"> </w:t>
      </w:r>
      <w:r w:rsidR="001724BC" w:rsidRPr="00005674">
        <w:rPr>
          <w:rFonts w:ascii="Verdana" w:hAnsi="Verdana"/>
          <w:sz w:val="22"/>
          <w:highlight w:val="green"/>
          <w:lang w:val="es-CR"/>
        </w:rPr>
        <w:t>todas</w:t>
      </w:r>
      <w:r w:rsidR="0045173D" w:rsidRPr="00005674">
        <w:rPr>
          <w:rFonts w:ascii="Verdana" w:hAnsi="Verdana"/>
          <w:sz w:val="22"/>
          <w:highlight w:val="green"/>
          <w:lang w:val="es-CR"/>
        </w:rPr>
        <w:t xml:space="preserve"> las personas diputadas</w:t>
      </w:r>
      <w:r w:rsidR="0045173D" w:rsidRPr="00005674">
        <w:rPr>
          <w:rFonts w:ascii="Verdana" w:hAnsi="Verdana"/>
          <w:sz w:val="22"/>
          <w:lang w:val="es-CR"/>
        </w:rPr>
        <w:t xml:space="preserve"> el rechazo y archivo definitivo del expediente legislativo N.° 23.414, “Ley de Armonización del Sistema Eléctrico Nacional”.</w:t>
      </w:r>
    </w:p>
    <w:p w14:paraId="3487C47A" w14:textId="259C1732" w:rsidR="009905A2" w:rsidRPr="00005674" w:rsidRDefault="0045173D">
      <w:pPr>
        <w:rPr>
          <w:rFonts w:ascii="Verdana" w:hAnsi="Verdana"/>
          <w:sz w:val="22"/>
          <w:lang w:val="es-CR"/>
        </w:rPr>
      </w:pPr>
      <w:r w:rsidRPr="00005674">
        <w:rPr>
          <w:rFonts w:ascii="Verdana" w:hAnsi="Verdana"/>
          <w:sz w:val="22"/>
          <w:lang w:val="es-CR"/>
        </w:rPr>
        <w:t>Puede ser enviada así como se encuentra, o bien,</w:t>
      </w:r>
      <w:r w:rsidR="00005674">
        <w:rPr>
          <w:rFonts w:ascii="Verdana" w:hAnsi="Verdana"/>
          <w:sz w:val="22"/>
          <w:lang w:val="es-CR"/>
        </w:rPr>
        <w:t xml:space="preserve"> ustedes</w:t>
      </w:r>
      <w:r w:rsidRPr="00005674">
        <w:rPr>
          <w:rFonts w:ascii="Verdana" w:hAnsi="Verdana"/>
          <w:sz w:val="22"/>
          <w:lang w:val="es-CR"/>
        </w:rPr>
        <w:t xml:space="preserve"> </w:t>
      </w:r>
      <w:r w:rsidR="006B2A6D" w:rsidRPr="00005674">
        <w:rPr>
          <w:rFonts w:ascii="Verdana" w:hAnsi="Verdana"/>
          <w:sz w:val="22"/>
          <w:lang w:val="es-CR"/>
        </w:rPr>
        <w:t xml:space="preserve">podrían agregar un </w:t>
      </w:r>
      <w:r w:rsidR="006B2A6D" w:rsidRPr="00005674">
        <w:rPr>
          <w:rFonts w:ascii="Verdana" w:hAnsi="Verdana"/>
          <w:sz w:val="22"/>
          <w:highlight w:val="green"/>
          <w:lang w:val="es-CR"/>
        </w:rPr>
        <w:t>considerando décimo</w:t>
      </w:r>
      <w:r w:rsidR="006B2A6D" w:rsidRPr="00005674">
        <w:rPr>
          <w:rFonts w:ascii="Verdana" w:hAnsi="Verdana"/>
          <w:sz w:val="22"/>
          <w:lang w:val="es-CR"/>
        </w:rPr>
        <w:t xml:space="preserve">, de acuerdo a la siguiente sugerencia (es sólo por si desean agregarlo, </w:t>
      </w:r>
      <w:r w:rsidR="00F12E87" w:rsidRPr="00005674">
        <w:rPr>
          <w:rFonts w:ascii="Verdana" w:hAnsi="Verdana"/>
          <w:sz w:val="22"/>
          <w:lang w:val="es-CR"/>
        </w:rPr>
        <w:t>en estos momentos lo urge</w:t>
      </w:r>
      <w:r w:rsidR="00CB5A40" w:rsidRPr="00005674">
        <w:rPr>
          <w:rFonts w:ascii="Verdana" w:hAnsi="Verdana"/>
          <w:sz w:val="22"/>
          <w:lang w:val="es-CR"/>
        </w:rPr>
        <w:t>nte</w:t>
      </w:r>
      <w:r w:rsidR="00F12E87" w:rsidRPr="00005674">
        <w:rPr>
          <w:rFonts w:ascii="Verdana" w:hAnsi="Verdana"/>
          <w:sz w:val="22"/>
          <w:lang w:val="es-CR"/>
        </w:rPr>
        <w:t xml:space="preserve"> es el envío de la carta a las personas diputadas</w:t>
      </w:r>
      <w:r w:rsidR="006B2A6D" w:rsidRPr="00005674">
        <w:rPr>
          <w:rFonts w:ascii="Verdana" w:hAnsi="Verdana"/>
          <w:sz w:val="22"/>
          <w:lang w:val="es-CR"/>
        </w:rPr>
        <w:t>)</w:t>
      </w:r>
      <w:r w:rsidR="00F12E87" w:rsidRPr="00005674">
        <w:rPr>
          <w:rFonts w:ascii="Verdana" w:hAnsi="Verdana"/>
          <w:sz w:val="22"/>
          <w:lang w:val="es-CR"/>
        </w:rPr>
        <w:t>:</w:t>
      </w:r>
    </w:p>
    <w:p w14:paraId="387E3403" w14:textId="77777777" w:rsidR="006B2A6D" w:rsidRPr="007E084D" w:rsidRDefault="006B2A6D" w:rsidP="006B2A6D">
      <w:pPr>
        <w:rPr>
          <w:rFonts w:ascii="Verdana" w:hAnsi="Verdana"/>
          <w:sz w:val="22"/>
          <w:highlight w:val="yellow"/>
          <w:lang w:val="es-CR"/>
        </w:rPr>
      </w:pPr>
      <w:r w:rsidRPr="007E084D">
        <w:rPr>
          <w:rFonts w:ascii="Verdana" w:hAnsi="Verdana"/>
          <w:sz w:val="22"/>
          <w:highlight w:val="yellow"/>
          <w:lang w:val="es-CR"/>
        </w:rPr>
        <w:t>DÉCIMO: Posición específica de la organización, movimiento, colectivo o persona firmante.</w:t>
      </w:r>
    </w:p>
    <w:p w14:paraId="5C9E2BAF" w14:textId="77777777" w:rsidR="006B2A6D" w:rsidRPr="00005674" w:rsidRDefault="006B2A6D" w:rsidP="006B2A6D">
      <w:pPr>
        <w:rPr>
          <w:rFonts w:ascii="Verdana" w:hAnsi="Verdana"/>
          <w:sz w:val="22"/>
          <w:lang w:val="es-CR"/>
        </w:rPr>
      </w:pPr>
      <w:r w:rsidRPr="007E084D">
        <w:rPr>
          <w:rFonts w:ascii="Verdana" w:hAnsi="Verdana"/>
          <w:sz w:val="22"/>
          <w:highlight w:val="yellow"/>
          <w:lang w:val="es-CR"/>
        </w:rPr>
        <w:t>[OPCIONAL: Este espacio es para que cada organización sindical, movimiento social, colectivo, agrupación o persona firmante incorpore su posición específica, sus razones particulares y/o las consecuencias que considera especialmente relevantes respecto del expediente legislativo N.° 23.414. Si no desea agregar, favor borrar todo el punto décimo]</w:t>
      </w:r>
    </w:p>
    <w:p w14:paraId="086914C6" w14:textId="7D3F6100" w:rsidR="00FE6EF4" w:rsidRPr="00005674" w:rsidRDefault="007E084D">
      <w:pPr>
        <w:rPr>
          <w:rFonts w:ascii="Verdana" w:hAnsi="Verdana"/>
          <w:sz w:val="22"/>
          <w:lang w:val="es-CR"/>
        </w:rPr>
      </w:pPr>
      <w:r w:rsidRPr="007E084D">
        <w:rPr>
          <w:rFonts w:ascii="Verdana" w:hAnsi="Verdana"/>
          <w:b/>
          <w:bCs/>
          <w:sz w:val="22"/>
          <w:lang w:val="es-CR"/>
        </w:rPr>
        <w:t>OPCIÓN 1:</w:t>
      </w:r>
      <w:r>
        <w:rPr>
          <w:rFonts w:ascii="Verdana" w:hAnsi="Verdana"/>
          <w:sz w:val="22"/>
          <w:lang w:val="es-CR"/>
        </w:rPr>
        <w:t xml:space="preserve"> </w:t>
      </w:r>
      <w:r w:rsidR="00F71D19" w:rsidRPr="00005674">
        <w:rPr>
          <w:rFonts w:ascii="Verdana" w:hAnsi="Verdana"/>
          <w:sz w:val="22"/>
          <w:lang w:val="es-CR"/>
        </w:rPr>
        <w:t xml:space="preserve">Su organización tiene que decidir si envía un correo único a </w:t>
      </w:r>
      <w:r w:rsidR="00FE6EF4" w:rsidRPr="00005674">
        <w:rPr>
          <w:rFonts w:ascii="Verdana" w:hAnsi="Verdana"/>
          <w:sz w:val="22"/>
          <w:lang w:val="es-CR"/>
        </w:rPr>
        <w:t>todas la</w:t>
      </w:r>
      <w:r>
        <w:rPr>
          <w:rFonts w:ascii="Verdana" w:hAnsi="Verdana"/>
          <w:sz w:val="22"/>
          <w:lang w:val="es-CR"/>
        </w:rPr>
        <w:t xml:space="preserve">s </w:t>
      </w:r>
      <w:r w:rsidR="00FE6EF4" w:rsidRPr="00005674">
        <w:rPr>
          <w:rFonts w:ascii="Verdana" w:hAnsi="Verdana"/>
          <w:sz w:val="22"/>
          <w:lang w:val="es-CR"/>
        </w:rPr>
        <w:t>diputaciones.</w:t>
      </w:r>
      <w:r w:rsidR="00E331BA" w:rsidRPr="00005674">
        <w:rPr>
          <w:rFonts w:ascii="Verdana" w:hAnsi="Verdana"/>
          <w:sz w:val="22"/>
          <w:lang w:val="es-CR"/>
        </w:rPr>
        <w:t xml:space="preserve"> </w:t>
      </w:r>
      <w:r w:rsidR="00FE6EF4" w:rsidRPr="0081353B">
        <w:rPr>
          <w:rFonts w:ascii="Verdana" w:hAnsi="Verdana"/>
          <w:sz w:val="22"/>
          <w:highlight w:val="green"/>
          <w:lang w:val="es-CR"/>
        </w:rPr>
        <w:t>Si así se decide, puede</w:t>
      </w:r>
      <w:r w:rsidRPr="0081353B">
        <w:rPr>
          <w:rFonts w:ascii="Verdana" w:hAnsi="Verdana"/>
          <w:sz w:val="22"/>
          <w:highlight w:val="green"/>
          <w:lang w:val="es-CR"/>
        </w:rPr>
        <w:t xml:space="preserve">n </w:t>
      </w:r>
      <w:r w:rsidR="00FE6EF4" w:rsidRPr="0081353B">
        <w:rPr>
          <w:rFonts w:ascii="Verdana" w:hAnsi="Verdana"/>
          <w:sz w:val="22"/>
          <w:highlight w:val="green"/>
          <w:lang w:val="es-CR"/>
        </w:rPr>
        <w:t>utilizar la carta</w:t>
      </w:r>
      <w:r w:rsidR="00E331BA" w:rsidRPr="0081353B">
        <w:rPr>
          <w:rFonts w:ascii="Verdana" w:hAnsi="Verdana"/>
          <w:sz w:val="22"/>
          <w:highlight w:val="green"/>
          <w:lang w:val="es-CR"/>
        </w:rPr>
        <w:t xml:space="preserve">, el asunto </w:t>
      </w:r>
      <w:r w:rsidR="000B56B4" w:rsidRPr="0081353B">
        <w:rPr>
          <w:rFonts w:ascii="Verdana" w:hAnsi="Verdana"/>
          <w:sz w:val="22"/>
          <w:highlight w:val="green"/>
          <w:lang w:val="es-CR"/>
        </w:rPr>
        <w:t xml:space="preserve">y el conjunto de direcciones de correo que se encuentran a partir de la </w:t>
      </w:r>
      <w:r w:rsidR="0028304C" w:rsidRPr="00D83C17">
        <w:rPr>
          <w:rFonts w:ascii="Verdana" w:hAnsi="Verdana"/>
          <w:b/>
          <w:bCs/>
          <w:sz w:val="22"/>
          <w:highlight w:val="green"/>
          <w:lang w:val="es-CR"/>
        </w:rPr>
        <w:t xml:space="preserve">página </w:t>
      </w:r>
      <w:r w:rsidR="0081353B" w:rsidRPr="00D83C17">
        <w:rPr>
          <w:rFonts w:ascii="Verdana" w:hAnsi="Verdana"/>
          <w:b/>
          <w:bCs/>
          <w:sz w:val="22"/>
          <w:highlight w:val="green"/>
          <w:lang w:val="es-CR"/>
        </w:rPr>
        <w:t xml:space="preserve">2 </w:t>
      </w:r>
      <w:r w:rsidR="0028304C" w:rsidRPr="00D83C17">
        <w:rPr>
          <w:rFonts w:ascii="Verdana" w:hAnsi="Verdana"/>
          <w:b/>
          <w:bCs/>
          <w:sz w:val="22"/>
          <w:highlight w:val="green"/>
          <w:lang w:val="es-CR"/>
        </w:rPr>
        <w:t>de este documento</w:t>
      </w:r>
      <w:r w:rsidR="0028304C" w:rsidRPr="00005674">
        <w:rPr>
          <w:rFonts w:ascii="Verdana" w:hAnsi="Verdana"/>
          <w:sz w:val="22"/>
          <w:lang w:val="es-CR"/>
        </w:rPr>
        <w:t>.</w:t>
      </w:r>
    </w:p>
    <w:p w14:paraId="3C175539" w14:textId="2950BAEF" w:rsidR="000B56B4" w:rsidRPr="000517CD" w:rsidRDefault="0081353B">
      <w:pPr>
        <w:rPr>
          <w:rFonts w:ascii="Verdana" w:hAnsi="Verdana"/>
          <w:b/>
          <w:bCs/>
          <w:sz w:val="22"/>
          <w:highlight w:val="cyan"/>
          <w:lang w:val="es-CR"/>
        </w:rPr>
      </w:pPr>
      <w:r w:rsidRPr="007E084D">
        <w:rPr>
          <w:rFonts w:ascii="Verdana" w:hAnsi="Verdana"/>
          <w:b/>
          <w:bCs/>
          <w:sz w:val="22"/>
          <w:lang w:val="es-CR"/>
        </w:rPr>
        <w:t xml:space="preserve">OPCIÓN </w:t>
      </w:r>
      <w:r>
        <w:rPr>
          <w:rFonts w:ascii="Verdana" w:hAnsi="Verdana"/>
          <w:b/>
          <w:bCs/>
          <w:sz w:val="22"/>
          <w:lang w:val="es-CR"/>
        </w:rPr>
        <w:t>2</w:t>
      </w:r>
      <w:r w:rsidRPr="007E084D">
        <w:rPr>
          <w:rFonts w:ascii="Verdana" w:hAnsi="Verdana"/>
          <w:b/>
          <w:bCs/>
          <w:sz w:val="22"/>
          <w:lang w:val="es-CR"/>
        </w:rPr>
        <w:t>:</w:t>
      </w:r>
      <w:r>
        <w:rPr>
          <w:rFonts w:ascii="Verdana" w:hAnsi="Verdana"/>
          <w:sz w:val="22"/>
          <w:lang w:val="es-CR"/>
        </w:rPr>
        <w:t xml:space="preserve"> </w:t>
      </w:r>
      <w:r w:rsidR="00E331BA" w:rsidRPr="00005674">
        <w:rPr>
          <w:rFonts w:ascii="Verdana" w:hAnsi="Verdana"/>
          <w:sz w:val="22"/>
          <w:lang w:val="es-CR"/>
        </w:rPr>
        <w:t>Si</w:t>
      </w:r>
      <w:r>
        <w:rPr>
          <w:rFonts w:ascii="Verdana" w:hAnsi="Verdana"/>
          <w:sz w:val="22"/>
          <w:lang w:val="es-CR"/>
        </w:rPr>
        <w:t xml:space="preserve"> deciden </w:t>
      </w:r>
      <w:r w:rsidR="00E331BA" w:rsidRPr="00005674">
        <w:rPr>
          <w:rFonts w:ascii="Verdana" w:hAnsi="Verdana"/>
          <w:sz w:val="22"/>
          <w:lang w:val="es-CR"/>
        </w:rPr>
        <w:t xml:space="preserve">enviar una carta individualizada a cada persona diputada, pueden </w:t>
      </w:r>
      <w:r w:rsidR="00507628" w:rsidRPr="00005674">
        <w:rPr>
          <w:rFonts w:ascii="Verdana" w:hAnsi="Verdana"/>
          <w:sz w:val="22"/>
          <w:lang w:val="es-CR"/>
        </w:rPr>
        <w:t xml:space="preserve">utilizar las cartas que se encuentran a partir de la </w:t>
      </w:r>
      <w:r w:rsidR="00507628" w:rsidRPr="00D83C17">
        <w:rPr>
          <w:rFonts w:ascii="Verdana" w:hAnsi="Verdana"/>
          <w:b/>
          <w:bCs/>
          <w:sz w:val="22"/>
          <w:highlight w:val="green"/>
          <w:lang w:val="es-CR"/>
        </w:rPr>
        <w:t xml:space="preserve">página </w:t>
      </w:r>
      <w:r w:rsidR="001724BC" w:rsidRPr="00D83C17">
        <w:rPr>
          <w:rFonts w:ascii="Verdana" w:hAnsi="Verdana"/>
          <w:b/>
          <w:bCs/>
          <w:sz w:val="22"/>
          <w:highlight w:val="green"/>
          <w:lang w:val="es-CR"/>
        </w:rPr>
        <w:t>9</w:t>
      </w:r>
      <w:r w:rsidRPr="00D83C17">
        <w:rPr>
          <w:rFonts w:ascii="Verdana" w:hAnsi="Verdana"/>
          <w:b/>
          <w:bCs/>
          <w:sz w:val="22"/>
          <w:highlight w:val="green"/>
          <w:lang w:val="es-CR"/>
        </w:rPr>
        <w:t xml:space="preserve"> de este documento</w:t>
      </w:r>
      <w:r>
        <w:rPr>
          <w:rFonts w:ascii="Verdana" w:hAnsi="Verdana"/>
          <w:sz w:val="22"/>
          <w:lang w:val="es-CR"/>
        </w:rPr>
        <w:t xml:space="preserve">. </w:t>
      </w:r>
      <w:r w:rsidR="001724BC" w:rsidRPr="00005674">
        <w:rPr>
          <w:rFonts w:ascii="Verdana" w:hAnsi="Verdana"/>
          <w:sz w:val="22"/>
          <w:lang w:val="es-CR"/>
        </w:rPr>
        <w:t xml:space="preserve">En esta caso, cada carta </w:t>
      </w:r>
      <w:r w:rsidR="008703C9">
        <w:rPr>
          <w:rFonts w:ascii="Verdana" w:hAnsi="Verdana"/>
          <w:sz w:val="22"/>
          <w:lang w:val="es-CR"/>
        </w:rPr>
        <w:t xml:space="preserve">ya </w:t>
      </w:r>
      <w:r w:rsidR="001724BC" w:rsidRPr="00005674">
        <w:rPr>
          <w:rFonts w:ascii="Verdana" w:hAnsi="Verdana"/>
          <w:sz w:val="22"/>
          <w:lang w:val="es-CR"/>
        </w:rPr>
        <w:t xml:space="preserve">cuenta con el encabezado personalizado </w:t>
      </w:r>
      <w:r w:rsidR="0086316C" w:rsidRPr="00005674">
        <w:rPr>
          <w:rFonts w:ascii="Verdana" w:hAnsi="Verdana"/>
          <w:sz w:val="22"/>
          <w:lang w:val="es-CR"/>
        </w:rPr>
        <w:t>y ahí mismo consta su correo electrónico.</w:t>
      </w:r>
      <w:r w:rsidR="00D83C17">
        <w:rPr>
          <w:rFonts w:ascii="Verdana" w:hAnsi="Verdana"/>
          <w:sz w:val="22"/>
          <w:lang w:val="es-CR"/>
        </w:rPr>
        <w:t xml:space="preserve"> </w:t>
      </w:r>
      <w:r w:rsidR="000517CD" w:rsidRPr="000517CD">
        <w:rPr>
          <w:rFonts w:ascii="Verdana" w:hAnsi="Verdana"/>
          <w:b/>
          <w:bCs/>
          <w:sz w:val="22"/>
          <w:highlight w:val="cyan"/>
          <w:lang w:val="es-CR"/>
        </w:rPr>
        <w:t>C</w:t>
      </w:r>
      <w:r w:rsidR="00D76507" w:rsidRPr="00D76507">
        <w:rPr>
          <w:rFonts w:ascii="Verdana" w:hAnsi="Verdana"/>
          <w:b/>
          <w:bCs/>
          <w:sz w:val="22"/>
          <w:highlight w:val="cyan"/>
          <w:lang w:val="es-CR"/>
        </w:rPr>
        <w:t>ada</w:t>
      </w:r>
      <w:r w:rsidR="00D76507" w:rsidRPr="000517CD">
        <w:rPr>
          <w:rFonts w:ascii="Verdana" w:hAnsi="Verdana"/>
          <w:b/>
          <w:bCs/>
          <w:sz w:val="22"/>
          <w:highlight w:val="cyan"/>
          <w:lang w:val="es-CR"/>
        </w:rPr>
        <w:t xml:space="preserve"> </w:t>
      </w:r>
      <w:r w:rsidR="00D76507" w:rsidRPr="00D76507">
        <w:rPr>
          <w:rFonts w:ascii="Verdana" w:hAnsi="Verdana"/>
          <w:b/>
          <w:bCs/>
          <w:sz w:val="22"/>
          <w:highlight w:val="cyan"/>
          <w:lang w:val="es-CR"/>
        </w:rPr>
        <w:t xml:space="preserve">carta </w:t>
      </w:r>
      <w:r w:rsidR="00D76507">
        <w:rPr>
          <w:rFonts w:ascii="Verdana" w:hAnsi="Verdana"/>
          <w:b/>
          <w:bCs/>
          <w:sz w:val="22"/>
          <w:highlight w:val="cyan"/>
          <w:lang w:val="es-CR"/>
        </w:rPr>
        <w:t>empieza en una página nueva</w:t>
      </w:r>
      <w:r w:rsidR="00D83C17" w:rsidRPr="000517CD">
        <w:rPr>
          <w:rFonts w:ascii="Verdana" w:hAnsi="Verdana"/>
          <w:b/>
          <w:bCs/>
          <w:sz w:val="22"/>
          <w:highlight w:val="cyan"/>
          <w:lang w:val="es-CR"/>
        </w:rPr>
        <w:t>.</w:t>
      </w:r>
    </w:p>
    <w:p w14:paraId="6649D803" w14:textId="685D467D" w:rsidR="000B56B4" w:rsidRPr="00005674" w:rsidRDefault="000B56B4">
      <w:pPr>
        <w:rPr>
          <w:rFonts w:ascii="Verdana" w:hAnsi="Verdana"/>
          <w:sz w:val="22"/>
          <w:lang w:val="es-CR"/>
        </w:rPr>
      </w:pPr>
      <w:r w:rsidRPr="00005674">
        <w:rPr>
          <w:rFonts w:ascii="Verdana" w:hAnsi="Verdana"/>
          <w:sz w:val="22"/>
          <w:lang w:val="es-CR"/>
        </w:rPr>
        <w:br w:type="page"/>
      </w:r>
    </w:p>
    <w:p w14:paraId="29C9309A" w14:textId="5D22706A" w:rsidR="0028304C" w:rsidRPr="00D83C17" w:rsidRDefault="00D83C17" w:rsidP="00DF3AB4">
      <w:pPr>
        <w:jc w:val="center"/>
        <w:rPr>
          <w:rFonts w:ascii="Verdana" w:hAnsi="Verdana"/>
          <w:b/>
          <w:bCs/>
          <w:sz w:val="22"/>
          <w:lang w:val="es-CR"/>
        </w:rPr>
      </w:pPr>
      <w:r w:rsidRPr="00D83C17">
        <w:rPr>
          <w:rFonts w:ascii="Verdana" w:hAnsi="Verdana"/>
          <w:b/>
          <w:bCs/>
          <w:sz w:val="22"/>
          <w:highlight w:val="green"/>
          <w:lang w:val="es-CR"/>
        </w:rPr>
        <w:lastRenderedPageBreak/>
        <w:t>OPCIÓN 1</w:t>
      </w:r>
      <w:r w:rsidR="0028304C" w:rsidRPr="00D83C17">
        <w:rPr>
          <w:rFonts w:ascii="Verdana" w:hAnsi="Verdana"/>
          <w:b/>
          <w:bCs/>
          <w:sz w:val="22"/>
          <w:highlight w:val="green"/>
          <w:lang w:val="es-CR"/>
        </w:rPr>
        <w:t>: un s</w:t>
      </w:r>
      <w:r w:rsidR="00AE3772">
        <w:rPr>
          <w:rFonts w:ascii="Verdana" w:hAnsi="Verdana"/>
          <w:b/>
          <w:bCs/>
          <w:sz w:val="22"/>
          <w:highlight w:val="green"/>
          <w:lang w:val="es-CR"/>
        </w:rPr>
        <w:t>o</w:t>
      </w:r>
      <w:r w:rsidR="0028304C" w:rsidRPr="00D83C17">
        <w:rPr>
          <w:rFonts w:ascii="Verdana" w:hAnsi="Verdana"/>
          <w:b/>
          <w:bCs/>
          <w:sz w:val="22"/>
          <w:highlight w:val="green"/>
          <w:lang w:val="es-CR"/>
        </w:rPr>
        <w:t>lo correo a las todas las personas diputadas.</w:t>
      </w:r>
    </w:p>
    <w:p w14:paraId="2EA38E16" w14:textId="1AF73321" w:rsidR="00F42841" w:rsidRPr="00D83C17" w:rsidRDefault="00F42841" w:rsidP="00DF3AB4">
      <w:pPr>
        <w:rPr>
          <w:rFonts w:ascii="Verdana" w:hAnsi="Verdana"/>
          <w:b/>
          <w:bCs/>
          <w:sz w:val="22"/>
          <w:lang w:val="es-CR"/>
        </w:rPr>
      </w:pPr>
      <w:r w:rsidRPr="00D83C17">
        <w:rPr>
          <w:rFonts w:ascii="Verdana" w:hAnsi="Verdana"/>
          <w:b/>
          <w:bCs/>
          <w:sz w:val="22"/>
          <w:highlight w:val="cyan"/>
          <w:lang w:val="es-CR"/>
        </w:rPr>
        <w:t>Asunto sugerido:</w:t>
      </w:r>
    </w:p>
    <w:p w14:paraId="495EDBEB" w14:textId="5EC7C1B7" w:rsidR="00F42841" w:rsidRPr="00005674" w:rsidRDefault="00F42841" w:rsidP="00DF3AB4">
      <w:pPr>
        <w:rPr>
          <w:rFonts w:ascii="Verdana" w:hAnsi="Verdana"/>
          <w:sz w:val="22"/>
          <w:lang w:val="es-CR"/>
        </w:rPr>
      </w:pPr>
      <w:r w:rsidRPr="00005674">
        <w:rPr>
          <w:rFonts w:ascii="Verdana" w:hAnsi="Verdana"/>
          <w:sz w:val="22"/>
          <w:lang w:val="es-CR"/>
        </w:rPr>
        <w:t>Solicitud de rechazo y archivo definitivo del expediente legislativo N.° 23.414, “Ley de Armonización del Sistema Eléctrico Nacional”</w:t>
      </w:r>
    </w:p>
    <w:p w14:paraId="3A1C0660" w14:textId="538E9DC9" w:rsidR="0028304C" w:rsidRPr="00D83C17" w:rsidRDefault="0028304C" w:rsidP="00DF3AB4">
      <w:pPr>
        <w:rPr>
          <w:rFonts w:ascii="Verdana" w:hAnsi="Verdana"/>
          <w:b/>
          <w:bCs/>
          <w:sz w:val="22"/>
          <w:lang w:val="es-CR"/>
        </w:rPr>
      </w:pPr>
      <w:r w:rsidRPr="00D83C17">
        <w:rPr>
          <w:rFonts w:ascii="Verdana" w:hAnsi="Verdana"/>
          <w:b/>
          <w:bCs/>
          <w:sz w:val="22"/>
          <w:highlight w:val="cyan"/>
          <w:lang w:val="es-CR"/>
        </w:rPr>
        <w:t>Las 57 direcciones de correo electrónico son las siguientes:</w:t>
      </w:r>
    </w:p>
    <w:p w14:paraId="4DFFD66A" w14:textId="77777777" w:rsidR="00DF3AB4" w:rsidRPr="00005674" w:rsidRDefault="00DF3AB4" w:rsidP="00DF3AB4">
      <w:pPr>
        <w:rPr>
          <w:rFonts w:ascii="Verdana" w:hAnsi="Verdana"/>
          <w:sz w:val="22"/>
          <w:lang w:val="es-CR"/>
        </w:rPr>
      </w:pPr>
      <w:r w:rsidRPr="00005674">
        <w:rPr>
          <w:rFonts w:ascii="Verdana" w:hAnsi="Verdana"/>
          <w:sz w:val="22"/>
          <w:lang w:val="es-MX"/>
        </w:rPr>
        <w:t xml:space="preserve">claudia.dobles@asamblea.go.cr; alvaro.ramirez@asamblea.go.cr; iztaru.alfaro@asamblea.go.cr; rafael.vargasb@asamblea.go.cr; andrea.valverde@asamblea.go.cr; marco.badilla@asamblea.go.cr; diana.murillo@asamblea.go.cr; eder.hernandez@asamblea.go.cr; karen.alfaro@asamblea.go.cr; janice.sandi@asamblea.go.cr; salvador.padilla@asamblea.go.cr; victor.hidalgo@asamblea.go.cr; angela.aguilar@asamblea.go.cr; ronald.campos@asamblea.go.cr; karol.matamoros@asamblea.go.cr; norjelens.lobo@asamblea.go.cr; jesus.calderon@asamblea.go.cr; mangell.mclean@asamblea.go.cr; abril.gordienko@asamblea.go.cr; nogui.acosta@asamblea.go.cr; kattya.mora@asamblea.go.cr; stephan.brunner@asamblea.go.cr; mayuli.ortega@asamblea.go.cr; gonzalo.ramirez@asamblea.go.cr; anna.muller@asamblea.go.cr; antonio.barzuna@asamblea.go.cr; esmeralda.britton@asamblea.go.cr; jose.villalobos@asamblea.go.cr; zaira.murillo@asamblea.go.cr; gerald.bogantes@asamblea.go.cr; grethel.avila@asamblea.go.cr; wilson.jimenez@asamblea.go.cr; kattia.ulate@asamblea.go.cr; fernando.obaldia@asamblea.go.cr; cindy.blanco@asamblea.go.cr; roberth.barrantes@asamblea.go.cr; yara.jimenez@asamblea.go.cr; marta.esquivel@asamblea.go.cr; juan.quesada@asamblea.go.cr; nayuribe.guadamuz@asamblea.go.cr; daniel.siezar@asamblea.go.cr; cindy.murillo@asamblea.go.cr; royner.mora@asamblea.go.cr; mariaisabel.camareno@asamblea.go.cr; ariel.mora@asamblea.go.cr; anaruth.esquivel@asamblea.go.cr; osvaldo.artavia@asamblea.go.cr; kristel.ward@asamblea.go.cr; reynaldo.arias@asamblea.go.cr; kattia.calvo@asamblea.go.cr; </w:t>
      </w:r>
      <w:hyperlink r:id="rId8" w:history="1">
        <w:r w:rsidRPr="00005674">
          <w:rPr>
            <w:rFonts w:ascii="Verdana" w:hAnsi="Verdana"/>
            <w:sz w:val="22"/>
            <w:lang w:val="es-MX"/>
          </w:rPr>
          <w:t>josemaria.villalta@asamblea.go.cr</w:t>
        </w:r>
      </w:hyperlink>
      <w:r w:rsidRPr="00005674">
        <w:rPr>
          <w:rFonts w:ascii="Verdana" w:hAnsi="Verdana"/>
          <w:sz w:val="22"/>
          <w:lang w:val="es-MX"/>
        </w:rPr>
        <w:t xml:space="preserve">; </w:t>
      </w:r>
      <w:hyperlink r:id="rId9" w:history="1">
        <w:r w:rsidRPr="00005674">
          <w:rPr>
            <w:rFonts w:ascii="Verdana" w:hAnsi="Verdana"/>
            <w:sz w:val="22"/>
            <w:lang w:val="es-MX"/>
          </w:rPr>
          <w:t>vianey.mora@asamblea.go.cr</w:t>
        </w:r>
      </w:hyperlink>
      <w:r w:rsidRPr="00005674">
        <w:rPr>
          <w:rFonts w:ascii="Verdana" w:hAnsi="Verdana"/>
          <w:sz w:val="22"/>
          <w:lang w:val="es-MX"/>
        </w:rPr>
        <w:t xml:space="preserve">; </w:t>
      </w:r>
      <w:hyperlink r:id="rId10" w:history="1">
        <w:r w:rsidRPr="00005674">
          <w:rPr>
            <w:rFonts w:ascii="Verdana" w:hAnsi="Verdana"/>
            <w:sz w:val="22"/>
            <w:lang w:val="es-MX"/>
          </w:rPr>
          <w:t>antonio.trejos@asamblea.go.cr</w:t>
        </w:r>
      </w:hyperlink>
      <w:r w:rsidRPr="00005674">
        <w:rPr>
          <w:rFonts w:ascii="Verdana" w:hAnsi="Verdana"/>
          <w:sz w:val="22"/>
          <w:lang w:val="es-MX"/>
        </w:rPr>
        <w:t xml:space="preserve">; </w:t>
      </w:r>
      <w:hyperlink r:id="rId11" w:history="1">
        <w:r w:rsidRPr="00005674">
          <w:rPr>
            <w:rFonts w:ascii="Verdana" w:hAnsi="Verdana"/>
            <w:sz w:val="22"/>
            <w:lang w:val="es-MX"/>
          </w:rPr>
          <w:t>edgardo.arayaa@asamblea.go.cr</w:t>
        </w:r>
      </w:hyperlink>
      <w:r w:rsidRPr="00005674">
        <w:rPr>
          <w:rFonts w:ascii="Verdana" w:hAnsi="Verdana"/>
          <w:sz w:val="22"/>
          <w:lang w:val="es-MX"/>
        </w:rPr>
        <w:t xml:space="preserve">; </w:t>
      </w:r>
      <w:hyperlink r:id="rId12" w:history="1">
        <w:r w:rsidRPr="00005674">
          <w:rPr>
            <w:rFonts w:ascii="Verdana" w:hAnsi="Verdana"/>
            <w:sz w:val="22"/>
            <w:lang w:val="es-MX"/>
          </w:rPr>
          <w:t>sigrid.segura@asamblea.go.cr</w:t>
        </w:r>
      </w:hyperlink>
      <w:r w:rsidRPr="00005674">
        <w:rPr>
          <w:rFonts w:ascii="Verdana" w:hAnsi="Verdana"/>
          <w:sz w:val="22"/>
          <w:lang w:val="es-MX"/>
        </w:rPr>
        <w:t xml:space="preserve">; joselyn.saenz@asamblea.go.cr; </w:t>
      </w:r>
      <w:hyperlink r:id="rId13" w:history="1">
        <w:r w:rsidRPr="00005674">
          <w:rPr>
            <w:rFonts w:ascii="Verdana" w:hAnsi="Verdana"/>
            <w:sz w:val="22"/>
            <w:lang w:val="es-MX"/>
          </w:rPr>
          <w:t>meroman@asamblea.go.cr</w:t>
        </w:r>
      </w:hyperlink>
    </w:p>
    <w:p w14:paraId="027B4482" w14:textId="52574993" w:rsidR="00DF3AB4" w:rsidRPr="00D83C17" w:rsidRDefault="00DF3AB4">
      <w:pPr>
        <w:rPr>
          <w:rFonts w:ascii="Verdana" w:hAnsi="Verdana"/>
          <w:b/>
          <w:bCs/>
          <w:sz w:val="22"/>
          <w:lang w:val="es-CR"/>
        </w:rPr>
      </w:pPr>
      <w:r w:rsidRPr="00D83C17">
        <w:rPr>
          <w:rFonts w:ascii="Verdana" w:hAnsi="Verdana"/>
          <w:b/>
          <w:bCs/>
          <w:sz w:val="22"/>
          <w:highlight w:val="cyan"/>
          <w:lang w:val="es-CR"/>
        </w:rPr>
        <w:t xml:space="preserve">La carta </w:t>
      </w:r>
      <w:r w:rsidR="00F42841" w:rsidRPr="00D83C17">
        <w:rPr>
          <w:rFonts w:ascii="Verdana" w:hAnsi="Verdana"/>
          <w:b/>
          <w:bCs/>
          <w:sz w:val="22"/>
          <w:highlight w:val="cyan"/>
          <w:lang w:val="es-CR"/>
        </w:rPr>
        <w:t xml:space="preserve">sugerida </w:t>
      </w:r>
      <w:r w:rsidRPr="00D83C17">
        <w:rPr>
          <w:rFonts w:ascii="Verdana" w:hAnsi="Verdana"/>
          <w:b/>
          <w:bCs/>
          <w:sz w:val="22"/>
          <w:highlight w:val="cyan"/>
          <w:lang w:val="es-CR"/>
        </w:rPr>
        <w:t>es la siguiente:</w:t>
      </w:r>
    </w:p>
    <w:p w14:paraId="1CFC8D2D" w14:textId="77777777" w:rsidR="0028304C" w:rsidRPr="00005674" w:rsidRDefault="0028304C">
      <w:pPr>
        <w:rPr>
          <w:rFonts w:ascii="Verdana" w:hAnsi="Verdana"/>
          <w:sz w:val="22"/>
          <w:lang w:val="es-CR"/>
        </w:rPr>
      </w:pPr>
    </w:p>
    <w:p w14:paraId="5D661288" w14:textId="78C76AE7" w:rsidR="000B56B4" w:rsidRPr="00005674" w:rsidRDefault="0028304C">
      <w:pPr>
        <w:rPr>
          <w:rFonts w:ascii="Verdana" w:hAnsi="Verdana"/>
          <w:sz w:val="22"/>
          <w:lang w:val="es-CR"/>
        </w:rPr>
      </w:pPr>
      <w:r w:rsidRPr="00005674">
        <w:rPr>
          <w:rFonts w:ascii="Verdana" w:hAnsi="Verdana"/>
          <w:sz w:val="22"/>
          <w:lang w:val="es-CR"/>
        </w:rPr>
        <w:t>Señora</w:t>
      </w:r>
      <w:r w:rsidR="00DF3AB4" w:rsidRPr="00005674">
        <w:rPr>
          <w:rFonts w:ascii="Verdana" w:hAnsi="Verdana"/>
          <w:sz w:val="22"/>
          <w:lang w:val="es-CR"/>
        </w:rPr>
        <w:t xml:space="preserve">s Diputadas y Señores </w:t>
      </w:r>
      <w:r w:rsidRPr="00005674">
        <w:rPr>
          <w:rFonts w:ascii="Verdana" w:hAnsi="Verdana"/>
          <w:sz w:val="22"/>
          <w:lang w:val="es-CR"/>
        </w:rPr>
        <w:t>Diputad</w:t>
      </w:r>
      <w:r w:rsidR="00DF3AB4" w:rsidRPr="00005674">
        <w:rPr>
          <w:rFonts w:ascii="Verdana" w:hAnsi="Verdana"/>
          <w:sz w:val="22"/>
          <w:lang w:val="es-CR"/>
        </w:rPr>
        <w:t>os</w:t>
      </w:r>
      <w:r w:rsidRPr="00005674">
        <w:rPr>
          <w:rFonts w:ascii="Verdana" w:hAnsi="Verdana"/>
          <w:sz w:val="22"/>
          <w:lang w:val="es-CR"/>
        </w:rPr>
        <w:br/>
        <w:t>Asamblea Legislativa de la República de Costa Rica</w:t>
      </w:r>
      <w:r w:rsidRPr="00005674">
        <w:rPr>
          <w:rFonts w:ascii="Verdana" w:hAnsi="Verdana"/>
          <w:sz w:val="22"/>
          <w:lang w:val="es-CR"/>
        </w:rPr>
        <w:br/>
      </w:r>
      <w:r w:rsidRPr="00005674">
        <w:rPr>
          <w:rFonts w:ascii="Verdana" w:hAnsi="Verdana"/>
          <w:sz w:val="22"/>
          <w:lang w:val="es-CR"/>
        </w:rPr>
        <w:br/>
      </w:r>
      <w:r w:rsidRPr="00005674">
        <w:rPr>
          <w:rFonts w:ascii="Verdana" w:hAnsi="Verdana"/>
          <w:sz w:val="22"/>
          <w:lang w:val="es-CR"/>
        </w:rPr>
        <w:lastRenderedPageBreak/>
        <w:t>Estima</w:t>
      </w:r>
      <w:r w:rsidR="00DF3AB4" w:rsidRPr="00005674">
        <w:rPr>
          <w:rFonts w:ascii="Verdana" w:hAnsi="Verdana"/>
          <w:sz w:val="22"/>
          <w:lang w:val="es-CR"/>
        </w:rPr>
        <w:t xml:space="preserve">bles </w:t>
      </w:r>
      <w:r w:rsidRPr="00005674">
        <w:rPr>
          <w:rFonts w:ascii="Verdana" w:hAnsi="Verdana"/>
          <w:sz w:val="22"/>
          <w:lang w:val="es-CR"/>
        </w:rPr>
        <w:t>señora</w:t>
      </w:r>
      <w:r w:rsidR="00DF3AB4" w:rsidRPr="00005674">
        <w:rPr>
          <w:rFonts w:ascii="Verdana" w:hAnsi="Verdana"/>
          <w:sz w:val="22"/>
          <w:lang w:val="es-CR"/>
        </w:rPr>
        <w:t>s</w:t>
      </w:r>
      <w:r w:rsidRPr="00005674">
        <w:rPr>
          <w:rFonts w:ascii="Verdana" w:hAnsi="Verdana"/>
          <w:sz w:val="22"/>
          <w:lang w:val="es-CR"/>
        </w:rPr>
        <w:t xml:space="preserve"> diputada</w:t>
      </w:r>
      <w:r w:rsidR="00DF3AB4" w:rsidRPr="00005674">
        <w:rPr>
          <w:rFonts w:ascii="Verdana" w:hAnsi="Verdana"/>
          <w:sz w:val="22"/>
          <w:lang w:val="es-CR"/>
        </w:rPr>
        <w:t>s y señores diputados</w:t>
      </w:r>
      <w:r w:rsidRPr="00005674">
        <w:rPr>
          <w:rFonts w:ascii="Verdana" w:hAnsi="Verdana"/>
          <w:sz w:val="22"/>
          <w:lang w:val="es-CR"/>
        </w:rPr>
        <w:t>:</w:t>
      </w:r>
      <w:r w:rsidRPr="00005674">
        <w:rPr>
          <w:rFonts w:ascii="Verdana" w:hAnsi="Verdana"/>
          <w:sz w:val="22"/>
          <w:lang w:val="es-CR"/>
        </w:rPr>
        <w:br/>
      </w:r>
      <w:r w:rsidRPr="00005674">
        <w:rPr>
          <w:rFonts w:ascii="Verdana" w:hAnsi="Verdana"/>
          <w:sz w:val="22"/>
          <w:lang w:val="es-CR"/>
        </w:rPr>
        <w:br/>
        <w:t>Reciba</w:t>
      </w:r>
      <w:r w:rsidR="00F42841" w:rsidRPr="00005674">
        <w:rPr>
          <w:rFonts w:ascii="Verdana" w:hAnsi="Verdana"/>
          <w:sz w:val="22"/>
          <w:lang w:val="es-CR"/>
        </w:rPr>
        <w:t>n</w:t>
      </w:r>
      <w:r w:rsidRPr="00005674">
        <w:rPr>
          <w:rFonts w:ascii="Verdana" w:hAnsi="Verdana"/>
          <w:sz w:val="22"/>
          <w:lang w:val="es-CR"/>
        </w:rPr>
        <w:t xml:space="preserve"> un cordial saludo.</w:t>
      </w:r>
      <w:r w:rsidRPr="00005674">
        <w:rPr>
          <w:rFonts w:ascii="Verdana" w:hAnsi="Verdana"/>
          <w:sz w:val="22"/>
          <w:lang w:val="es-CR"/>
        </w:rPr>
        <w:br/>
      </w:r>
      <w:r w:rsidRPr="00005674">
        <w:rPr>
          <w:rFonts w:ascii="Verdana" w:hAnsi="Verdana"/>
          <w:sz w:val="22"/>
          <w:lang w:val="es-CR"/>
        </w:rPr>
        <w:b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Pr="00005674">
        <w:rPr>
          <w:rFonts w:ascii="Verdana" w:hAnsi="Verdana"/>
          <w:sz w:val="22"/>
          <w:lang w:val="es-CR"/>
        </w:rPr>
        <w:br/>
      </w:r>
      <w:r w:rsidRPr="00005674">
        <w:rPr>
          <w:rFonts w:ascii="Verdana" w:hAnsi="Verdana"/>
          <w:sz w:val="22"/>
          <w:lang w:val="es-CR"/>
        </w:rPr>
        <w:b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Pr="00005674">
        <w:rPr>
          <w:rFonts w:ascii="Verdana" w:hAnsi="Verdana"/>
          <w:sz w:val="22"/>
          <w:lang w:val="es-CR"/>
        </w:rPr>
        <w:br/>
      </w:r>
      <w:r w:rsidRPr="00005674">
        <w:rPr>
          <w:rFonts w:ascii="Verdana" w:hAnsi="Verdana"/>
          <w:sz w:val="22"/>
          <w:lang w:val="es-CR"/>
        </w:rPr>
        <w:b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Pr="00005674">
        <w:rPr>
          <w:rFonts w:ascii="Verdana" w:hAnsi="Verdana"/>
          <w:sz w:val="22"/>
          <w:lang w:val="es-CR"/>
        </w:rPr>
        <w:br/>
      </w:r>
      <w:r w:rsidRPr="00005674">
        <w:rPr>
          <w:rFonts w:ascii="Verdana" w:hAnsi="Verdana"/>
          <w:sz w:val="22"/>
          <w:lang w:val="es-CR"/>
        </w:rPr>
        <w:br/>
        <w:t>Por estas razones, exponemos lo siguiente:</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CONSIDERANDO:</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Pr="00005674">
        <w:rPr>
          <w:rFonts w:ascii="Verdana" w:hAnsi="Verdana"/>
          <w:sz w:val="22"/>
          <w:lang w:val="es-CR"/>
        </w:rPr>
        <w:br/>
      </w:r>
      <w:r w:rsidRPr="00005674">
        <w:rPr>
          <w:rFonts w:ascii="Verdana" w:hAnsi="Verdana"/>
          <w:sz w:val="22"/>
          <w:lang w:val="es-CR"/>
        </w:rPr>
        <w:b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Pr="00005674">
        <w:rPr>
          <w:rFonts w:ascii="Verdana" w:hAnsi="Verdana"/>
          <w:sz w:val="22"/>
          <w:lang w:val="es-CR"/>
        </w:rPr>
        <w:br/>
      </w:r>
      <w:r w:rsidRPr="00005674">
        <w:rPr>
          <w:rFonts w:ascii="Verdana" w:hAnsi="Verdana"/>
          <w:sz w:val="22"/>
          <w:lang w:val="es-CR"/>
        </w:rPr>
        <w:b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Pr="00005674">
        <w:rPr>
          <w:rFonts w:ascii="Verdana" w:hAnsi="Verdana"/>
          <w:sz w:val="22"/>
          <w:lang w:val="es-CR"/>
        </w:rPr>
        <w:br/>
      </w:r>
      <w:r w:rsidRPr="00005674">
        <w:rPr>
          <w:rFonts w:ascii="Verdana" w:hAnsi="Verdana"/>
          <w:sz w:val="22"/>
          <w:lang w:val="es-CR"/>
        </w:rPr>
        <w:br/>
        <w:t>Que este modelo ha permitido democratizar el acceso a la electricidad y garantizar que comunidades rurales, costeras, fronterizas y alejadas también formen parte del sistema eléctrico nacional, lo que contribuye a reducir desigualdades territoriales y sociales.</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Pr="00005674">
        <w:rPr>
          <w:rFonts w:ascii="Verdana" w:hAnsi="Verdana"/>
          <w:sz w:val="22"/>
          <w:lang w:val="es-CR"/>
        </w:rPr>
        <w:br/>
      </w:r>
      <w:r w:rsidRPr="00005674">
        <w:rPr>
          <w:rFonts w:ascii="Verdana" w:hAnsi="Verdana"/>
          <w:sz w:val="22"/>
          <w:lang w:val="es-CR"/>
        </w:rPr>
        <w:lastRenderedPageBreak/>
        <w:br/>
        <w:t>Que el modelo eléctrico costarricense ha sido desarrollado sobre principios de solidaridad, planificación pública y articulación institucional, con el ICE como actor fundamental en la conducción y expansión del Sistema Eléctrico Nacional.</w:t>
      </w:r>
      <w:r w:rsidRPr="00005674">
        <w:rPr>
          <w:rFonts w:ascii="Verdana" w:hAnsi="Verdana"/>
          <w:sz w:val="22"/>
          <w:lang w:val="es-CR"/>
        </w:rPr>
        <w:br/>
      </w:r>
      <w:r w:rsidRPr="00005674">
        <w:rPr>
          <w:rFonts w:ascii="Verdana" w:hAnsi="Verdana"/>
          <w:sz w:val="22"/>
          <w:lang w:val="es-CR"/>
        </w:rPr>
        <w:br/>
        <w:t>Que el expediente N.° 23.414 pretende modificar sustancialmente este modelo, debilitará las funciones históricas del ICE y trasladará competencias estratégicas hacia nuevas estructuras y mecanismos de mercado.</w:t>
      </w:r>
      <w:r w:rsidRPr="00005674">
        <w:rPr>
          <w:rFonts w:ascii="Verdana" w:hAnsi="Verdana"/>
          <w:sz w:val="22"/>
          <w:lang w:val="es-CR"/>
        </w:rPr>
        <w:br/>
      </w:r>
      <w:r w:rsidRPr="00005674">
        <w:rPr>
          <w:rFonts w:ascii="Verdana" w:hAnsi="Verdana"/>
          <w:sz w:val="22"/>
          <w:lang w:val="es-CR"/>
        </w:rPr>
        <w:b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Pr="00005674">
        <w:rPr>
          <w:rFonts w:ascii="Verdana" w:hAnsi="Verdana"/>
          <w:sz w:val="22"/>
          <w:lang w:val="es-CR"/>
        </w:rPr>
        <w:br/>
      </w:r>
      <w:r w:rsidRPr="00005674">
        <w:rPr>
          <w:rFonts w:ascii="Verdana" w:hAnsi="Verdana"/>
          <w:sz w:val="22"/>
          <w:lang w:val="es-CR"/>
        </w:rPr>
        <w:br/>
        <w:t>Que una transformación de esta naturaleza no constituye una simple modernización administrativa, sino un cambio profundo en la forma de organizar, planificar y gobernar uno de los sectores estratégicos para el desarrollo nacional.</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Pr="00005674">
        <w:rPr>
          <w:rFonts w:ascii="Verdana" w:hAnsi="Verdana"/>
          <w:sz w:val="22"/>
          <w:lang w:val="es-CR"/>
        </w:rPr>
        <w:br/>
      </w:r>
      <w:r w:rsidRPr="00005674">
        <w:rPr>
          <w:rFonts w:ascii="Verdana" w:hAnsi="Verdana"/>
          <w:sz w:val="22"/>
          <w:lang w:val="es-CR"/>
        </w:rPr>
        <w:b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Pr="00005674">
        <w:rPr>
          <w:rFonts w:ascii="Verdana" w:hAnsi="Verdana"/>
          <w:sz w:val="22"/>
          <w:lang w:val="es-CR"/>
        </w:rPr>
        <w:br/>
      </w:r>
      <w:r w:rsidRPr="00005674">
        <w:rPr>
          <w:rFonts w:ascii="Verdana" w:hAnsi="Verdana"/>
          <w:sz w:val="22"/>
          <w:lang w:val="es-CR"/>
        </w:rPr>
        <w:b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Pr="00005674">
        <w:rPr>
          <w:rFonts w:ascii="Verdana" w:hAnsi="Verdana"/>
          <w:sz w:val="22"/>
          <w:lang w:val="es-CR"/>
        </w:rPr>
        <w:br/>
      </w:r>
      <w:r w:rsidRPr="00005674">
        <w:rPr>
          <w:rFonts w:ascii="Verdana" w:hAnsi="Verdana"/>
          <w:sz w:val="22"/>
          <w:lang w:val="es-CR"/>
        </w:rPr>
        <w:b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Pr="00005674">
        <w:rPr>
          <w:rFonts w:ascii="Verdana" w:hAnsi="Verdana"/>
          <w:sz w:val="22"/>
          <w:lang w:val="es-CR"/>
        </w:rPr>
        <w:br/>
      </w:r>
      <w:r w:rsidRPr="00005674">
        <w:rPr>
          <w:rFonts w:ascii="Verdana" w:hAnsi="Verdana"/>
          <w:sz w:val="22"/>
          <w:lang w:val="es-CR"/>
        </w:rPr>
        <w:br/>
        <w:t>Que, por tanto, la defensa de la planificación pública y de las capacidades técnicas acumuladas por el ICE constituye una condición fundamental para preservar la seguridad energética y el interés público.</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 xml:space="preserve">CUARTO: El riesgo de aumento de las tarifas eléctricas y de mayores costos </w:t>
      </w:r>
      <w:r w:rsidRPr="00005674">
        <w:rPr>
          <w:rFonts w:ascii="Verdana" w:hAnsi="Verdana"/>
          <w:b/>
          <w:sz w:val="22"/>
          <w:lang w:val="es-CR"/>
        </w:rPr>
        <w:lastRenderedPageBreak/>
        <w:t>para la población.</w:t>
      </w:r>
      <w:r w:rsidRPr="00005674">
        <w:rPr>
          <w:rFonts w:ascii="Verdana" w:hAnsi="Verdana"/>
          <w:sz w:val="22"/>
          <w:lang w:val="es-CR"/>
        </w:rPr>
        <w:br/>
      </w:r>
      <w:r w:rsidRPr="00005674">
        <w:rPr>
          <w:rFonts w:ascii="Verdana" w:hAnsi="Verdana"/>
          <w:sz w:val="22"/>
          <w:lang w:val="es-CR"/>
        </w:rPr>
        <w:b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Pr="00005674">
        <w:rPr>
          <w:rFonts w:ascii="Verdana" w:hAnsi="Verdana"/>
          <w:sz w:val="22"/>
          <w:lang w:val="es-CR"/>
        </w:rPr>
        <w:br/>
      </w:r>
      <w:r w:rsidRPr="00005674">
        <w:rPr>
          <w:rFonts w:ascii="Verdana" w:hAnsi="Verdana"/>
          <w:sz w:val="22"/>
          <w:lang w:val="es-CR"/>
        </w:rPr>
        <w:b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Pr="00005674">
        <w:rPr>
          <w:rFonts w:ascii="Verdana" w:hAnsi="Verdana"/>
          <w:sz w:val="22"/>
          <w:lang w:val="es-CR"/>
        </w:rPr>
        <w:br/>
      </w:r>
      <w:r w:rsidRPr="00005674">
        <w:rPr>
          <w:rFonts w:ascii="Verdana" w:hAnsi="Verdana"/>
          <w:sz w:val="22"/>
          <w:lang w:val="es-CR"/>
        </w:rPr>
        <w:br/>
        <w:t>Que, además, la creación de nuevas estructuras institucionales y mecanismos de mercado supone costos adicionales de operación, regulación y administración que, en última instancia, se trasladarán a la ciudadanía.</w:t>
      </w:r>
      <w:r w:rsidRPr="00005674">
        <w:rPr>
          <w:rFonts w:ascii="Verdana" w:hAnsi="Verdana"/>
          <w:sz w:val="22"/>
          <w:lang w:val="es-CR"/>
        </w:rPr>
        <w:br/>
      </w:r>
      <w:r w:rsidRPr="00005674">
        <w:rPr>
          <w:rFonts w:ascii="Verdana" w:hAnsi="Verdana"/>
          <w:sz w:val="22"/>
          <w:lang w:val="es-CR"/>
        </w:rPr>
        <w:b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Pr="00005674">
        <w:rPr>
          <w:rFonts w:ascii="Verdana" w:hAnsi="Verdana"/>
          <w:sz w:val="22"/>
          <w:lang w:val="es-CR"/>
        </w:rPr>
        <w:br/>
      </w:r>
      <w:r w:rsidRPr="00005674">
        <w:rPr>
          <w:rFonts w:ascii="Verdana" w:hAnsi="Verdana"/>
          <w:sz w:val="22"/>
          <w:lang w:val="es-CR"/>
        </w:rPr>
        <w:b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Pr="00005674">
        <w:rPr>
          <w:rFonts w:ascii="Verdana" w:hAnsi="Verdana"/>
          <w:sz w:val="22"/>
          <w:lang w:val="es-CR"/>
        </w:rPr>
        <w:br/>
      </w:r>
      <w:r w:rsidRPr="00005674">
        <w:rPr>
          <w:rFonts w:ascii="Verdana" w:hAnsi="Verdana"/>
          <w:sz w:val="22"/>
          <w:lang w:val="es-CR"/>
        </w:rPr>
        <w:b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Pr="00005674">
        <w:rPr>
          <w:rFonts w:ascii="Verdana" w:hAnsi="Verdana"/>
          <w:sz w:val="22"/>
          <w:lang w:val="es-CR"/>
        </w:rPr>
        <w:br/>
      </w:r>
      <w:r w:rsidRPr="00005674">
        <w:rPr>
          <w:rFonts w:ascii="Verdana" w:hAnsi="Verdana"/>
          <w:sz w:val="22"/>
          <w:lang w:val="es-CR"/>
        </w:rPr>
        <w:b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Pr="00005674">
        <w:rPr>
          <w:rFonts w:ascii="Verdana" w:hAnsi="Verdana"/>
          <w:sz w:val="22"/>
          <w:lang w:val="es-CR"/>
        </w:rPr>
        <w:br/>
      </w:r>
      <w:r w:rsidRPr="00005674">
        <w:rPr>
          <w:rFonts w:ascii="Verdana" w:hAnsi="Verdana"/>
          <w:sz w:val="22"/>
          <w:lang w:val="es-CR"/>
        </w:rPr>
        <w:b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Pr="00005674">
        <w:rPr>
          <w:rFonts w:ascii="Verdana" w:hAnsi="Verdana"/>
          <w:sz w:val="22"/>
          <w:lang w:val="es-CR"/>
        </w:rPr>
        <w:br/>
      </w:r>
      <w:r w:rsidRPr="00005674">
        <w:rPr>
          <w:rFonts w:ascii="Verdana" w:hAnsi="Verdana"/>
          <w:sz w:val="22"/>
          <w:lang w:val="es-CR"/>
        </w:rPr>
        <w:lastRenderedPageBreak/>
        <w:br/>
        <w:t>Que la experiencia internacional sustenta esta posición y evidencia los riesgos que pueden surgir cuando la expansión de la generación y la infraestructura eléctrica no se articula mediante una planificación conjunta de largo plazo.</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Pr="00005674">
        <w:rPr>
          <w:rFonts w:ascii="Verdana" w:hAnsi="Verdana"/>
          <w:sz w:val="22"/>
          <w:lang w:val="es-CR"/>
        </w:rPr>
        <w:br/>
      </w:r>
      <w:r w:rsidRPr="00005674">
        <w:rPr>
          <w:rFonts w:ascii="Verdana" w:hAnsi="Verdana"/>
          <w:sz w:val="22"/>
          <w:lang w:val="es-CR"/>
        </w:rPr>
        <w:b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Pr="00005674">
        <w:rPr>
          <w:rFonts w:ascii="Verdana" w:hAnsi="Verdana"/>
          <w:sz w:val="22"/>
          <w:lang w:val="es-CR"/>
        </w:rPr>
        <w:br/>
      </w:r>
      <w:r w:rsidRPr="00005674">
        <w:rPr>
          <w:rFonts w:ascii="Verdana" w:hAnsi="Verdana"/>
          <w:sz w:val="22"/>
          <w:lang w:val="es-CR"/>
        </w:rPr>
        <w:br/>
        <w:t>Que los recursos naturales utilizados para producir electricidad constituyen bienes estratégicos del país y deben ser gestionados bajo criterios de interés público, sostenibilidad ambiental, soberanía y protección de las comunidades.</w:t>
      </w:r>
      <w:r w:rsidRPr="00005674">
        <w:rPr>
          <w:rFonts w:ascii="Verdana" w:hAnsi="Verdana"/>
          <w:sz w:val="22"/>
          <w:lang w:val="es-CR"/>
        </w:rPr>
        <w:br/>
      </w:r>
      <w:r w:rsidRPr="00005674">
        <w:rPr>
          <w:rFonts w:ascii="Verdana" w:hAnsi="Verdana"/>
          <w:sz w:val="22"/>
          <w:lang w:val="es-CR"/>
        </w:rPr>
        <w:b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Pr="00005674">
        <w:rPr>
          <w:rFonts w:ascii="Verdana" w:hAnsi="Verdana"/>
          <w:sz w:val="22"/>
          <w:lang w:val="es-CR"/>
        </w:rPr>
        <w:br/>
      </w:r>
      <w:r w:rsidRPr="00005674">
        <w:rPr>
          <w:rFonts w:ascii="Verdana" w:hAnsi="Verdana"/>
          <w:sz w:val="22"/>
          <w:lang w:val="es-CR"/>
        </w:rPr>
        <w:br/>
        <w:t>Que la electricidad y los recursos naturales que permiten producirla no deben convertirse en simples mercancías subordinadas a la lógica de maximización del lucro privado.</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Pr="00005674">
        <w:rPr>
          <w:rFonts w:ascii="Verdana" w:hAnsi="Verdana"/>
          <w:sz w:val="22"/>
          <w:lang w:val="es-CR"/>
        </w:rPr>
        <w:br/>
      </w:r>
      <w:r w:rsidRPr="00005674">
        <w:rPr>
          <w:rFonts w:ascii="Verdana" w:hAnsi="Verdana"/>
          <w:sz w:val="22"/>
          <w:lang w:val="es-CR"/>
        </w:rPr>
        <w:b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Pr="00005674">
        <w:rPr>
          <w:rFonts w:ascii="Verdana" w:hAnsi="Verdana"/>
          <w:sz w:val="22"/>
          <w:lang w:val="es-CR"/>
        </w:rPr>
        <w:br/>
      </w:r>
      <w:r w:rsidRPr="00005674">
        <w:rPr>
          <w:rFonts w:ascii="Verdana" w:hAnsi="Verdana"/>
          <w:sz w:val="22"/>
          <w:lang w:val="es-CR"/>
        </w:rPr>
        <w:br/>
        <w:t>Que, según ha sido denunciado públicamente por organizaciones integrantes del Movimiento por el Derecho a la Electricidad, el Consejo Directivo del ICE acordó disolver dicha Dirección el 22 de setiembre de 2026.</w:t>
      </w:r>
      <w:r w:rsidRPr="00005674">
        <w:rPr>
          <w:rFonts w:ascii="Verdana" w:hAnsi="Verdana"/>
          <w:sz w:val="22"/>
          <w:lang w:val="es-CR"/>
        </w:rPr>
        <w:br/>
      </w:r>
      <w:r w:rsidRPr="00005674">
        <w:rPr>
          <w:rFonts w:ascii="Verdana" w:hAnsi="Verdana"/>
          <w:sz w:val="22"/>
          <w:lang w:val="es-CR"/>
        </w:rPr>
        <w:br/>
        <w:t>Que resulta particularmente preocupante que esta decisión institucional se produzca mientras el expediente N.° 23.414 continúa pendiente de discusión legislativa, pues podría significar, en la práctica, la implementación anticipada de transformaciones institucionales asociadas con un proyecto que todavía no ha sido aprobado por la Asamblea Legislativa.</w:t>
      </w:r>
      <w:r w:rsidRPr="00005674">
        <w:rPr>
          <w:rFonts w:ascii="Verdana" w:hAnsi="Verdana"/>
          <w:sz w:val="22"/>
          <w:lang w:val="es-CR"/>
        </w:rPr>
        <w:br/>
      </w:r>
      <w:r w:rsidRPr="00005674">
        <w:rPr>
          <w:rFonts w:ascii="Verdana" w:hAnsi="Verdana"/>
          <w:sz w:val="22"/>
          <w:lang w:val="es-CR"/>
        </w:rPr>
        <w:br/>
        <w:t xml:space="preserve">Que la reciente reactivación de la discusión legislativa obliga a las personas diputadas </w:t>
      </w:r>
      <w:r w:rsidRPr="00005674">
        <w:rPr>
          <w:rFonts w:ascii="Verdana" w:hAnsi="Verdana"/>
          <w:sz w:val="22"/>
          <w:lang w:val="es-CR"/>
        </w:rPr>
        <w:lastRenderedPageBreak/>
        <w:t>a ejercer una especial vigilancia sobre cualquier modificación institucional que pueda comprometer las capacidades del ICE.</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Pr="00005674">
        <w:rPr>
          <w:rFonts w:ascii="Verdana" w:hAnsi="Verdana"/>
          <w:sz w:val="22"/>
          <w:lang w:val="es-CR"/>
        </w:rPr>
        <w:br/>
      </w:r>
      <w:r w:rsidRPr="00005674">
        <w:rPr>
          <w:rFonts w:ascii="Verdana" w:hAnsi="Verdana"/>
          <w:sz w:val="22"/>
          <w:lang w:val="es-CR"/>
        </w:rPr>
        <w:br/>
        <w:t>Que el expediente N.° 23.414 no debe ser valorado únicamente como una reforma técnica o administrativa, pues modifica la relación entre el Estado, el ICE, las empresas privadas, las familias costarricenses y los recursos energéticos del país.</w:t>
      </w:r>
      <w:r w:rsidRPr="00005674">
        <w:rPr>
          <w:rFonts w:ascii="Verdana" w:hAnsi="Verdana"/>
          <w:sz w:val="22"/>
          <w:lang w:val="es-CR"/>
        </w:rPr>
        <w:br/>
      </w:r>
      <w:r w:rsidRPr="00005674">
        <w:rPr>
          <w:rFonts w:ascii="Verdana" w:hAnsi="Verdana"/>
          <w:sz w:val="22"/>
          <w:lang w:val="es-CR"/>
        </w:rPr>
        <w:br/>
        <w:t>Que se encuentra en discusión quién planificará el desarrollo eléctrico nacional, bajo qué criterios se toman las decisiones estratégicas, quién controla los recursos energéticos y quién recibe los beneficios derivados de su explotación.</w:t>
      </w:r>
      <w:r w:rsidRPr="00005674">
        <w:rPr>
          <w:rFonts w:ascii="Verdana" w:hAnsi="Verdana"/>
          <w:sz w:val="22"/>
          <w:lang w:val="es-CR"/>
        </w:rPr>
        <w:br/>
      </w:r>
      <w:r w:rsidRPr="00005674">
        <w:rPr>
          <w:rFonts w:ascii="Verdana" w:hAnsi="Verdana"/>
          <w:sz w:val="22"/>
          <w:lang w:val="es-CR"/>
        </w:rPr>
        <w:br/>
        <w:t>Que la electricidad debe continuar siendo entendida como un servicio público esencial y como un componente fundamental de las condiciones materiales para una vida digna, y no como una mercancía subordinada a los intereses de los grandes actores económicos.</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Pr="00005674">
        <w:rPr>
          <w:rFonts w:ascii="Verdana" w:hAnsi="Verdana"/>
          <w:sz w:val="22"/>
          <w:lang w:val="es-CR"/>
        </w:rPr>
        <w:br/>
      </w:r>
      <w:r w:rsidRPr="00005674">
        <w:rPr>
          <w:rFonts w:ascii="Verdana" w:hAnsi="Verdana"/>
          <w:sz w:val="22"/>
          <w:lang w:val="es-CR"/>
        </w:rPr>
        <w:br/>
        <w:t>Que corresponde a la Asamblea Legislativa proteger el interés público, la institucionalidad nacional y los derechos de la población, particularmente cuando se encuentran en juego servicios públicos estratégicos y bienes naturales de importancia nacional.</w:t>
      </w:r>
      <w:r w:rsidRPr="00005674">
        <w:rPr>
          <w:rFonts w:ascii="Verdana" w:hAnsi="Verdana"/>
          <w:sz w:val="22"/>
          <w:lang w:val="es-CR"/>
        </w:rPr>
        <w:br/>
      </w:r>
      <w:r w:rsidRPr="00005674">
        <w:rPr>
          <w:rFonts w:ascii="Verdana" w:hAnsi="Verdana"/>
          <w:sz w:val="22"/>
          <w:lang w:val="es-CR"/>
        </w:rPr>
        <w:br/>
        <w:t>Que el propio proceso legislativo relacionado con el expediente N.° 23.414 ha sido objeto de señalamientos técnicos y jurídicos, incluyendo advertencias sobre problemas de legalidad y constitucionalidad y sobre la necesidad de realizar ajustes al texto.</w:t>
      </w:r>
      <w:r w:rsidRPr="00005674">
        <w:rPr>
          <w:rFonts w:ascii="Verdana" w:hAnsi="Verdana"/>
          <w:sz w:val="22"/>
          <w:lang w:val="es-CR"/>
        </w:rPr>
        <w:br/>
      </w:r>
      <w:r w:rsidRPr="00005674">
        <w:rPr>
          <w:rFonts w:ascii="Verdana" w:hAnsi="Verdana"/>
          <w:sz w:val="22"/>
          <w:lang w:val="es-CR"/>
        </w:rPr>
        <w:b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POR TANTO:</w:t>
      </w:r>
      <w:r w:rsidRPr="00005674">
        <w:rPr>
          <w:rFonts w:ascii="Verdana" w:hAnsi="Verdana"/>
          <w:sz w:val="22"/>
          <w:lang w:val="es-CR"/>
        </w:rPr>
        <w:br/>
      </w:r>
      <w:r w:rsidRPr="00005674">
        <w:rPr>
          <w:rFonts w:ascii="Verdana" w:hAnsi="Verdana"/>
          <w:sz w:val="22"/>
          <w:lang w:val="es-CR"/>
        </w:rPr>
        <w:br/>
        <w:t xml:space="preserve">Por las razones anteriormente expuestas, </w:t>
      </w:r>
      <w:r w:rsidRPr="00005674">
        <w:rPr>
          <w:rFonts w:ascii="Verdana" w:hAnsi="Verdana"/>
          <w:b/>
          <w:sz w:val="22"/>
          <w:lang w:val="es-CR"/>
        </w:rPr>
        <w:t>solicitamos respetuosamente a usted, en su condición de persona diputada de la República, que vote en contra del expediente legislativo N.° 23.414, “Ley de Armonización del Sistema Eléctrico Nacional”, y que apoye su archivo definitivo.</w:t>
      </w:r>
      <w:r w:rsidRPr="00005674">
        <w:rPr>
          <w:rFonts w:ascii="Verdana" w:hAnsi="Verdana"/>
          <w:sz w:val="22"/>
          <w:lang w:val="es-CR"/>
        </w:rPr>
        <w:br/>
      </w:r>
      <w:r w:rsidRPr="00005674">
        <w:rPr>
          <w:rFonts w:ascii="Verdana" w:hAnsi="Verdana"/>
          <w:sz w:val="22"/>
          <w:lang w:val="es-CR"/>
        </w:rPr>
        <w:br/>
        <w:t xml:space="preserve">Asimismo, le solicitamos que, en el ejercicio de sus responsabilidades constitucionales </w:t>
      </w:r>
      <w:r w:rsidRPr="00005674">
        <w:rPr>
          <w:rFonts w:ascii="Verdana" w:hAnsi="Verdana"/>
          <w:sz w:val="22"/>
          <w:lang w:val="es-CR"/>
        </w:rPr>
        <w:lastRenderedPageBreak/>
        <w:t>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Pr="00005674">
        <w:rPr>
          <w:rFonts w:ascii="Verdana" w:hAnsi="Verdana"/>
          <w:sz w:val="22"/>
          <w:lang w:val="es-CR"/>
        </w:rPr>
        <w:br/>
      </w:r>
      <w:r w:rsidRPr="00005674">
        <w:rPr>
          <w:rFonts w:ascii="Verdana" w:hAnsi="Verdana"/>
          <w:sz w:val="22"/>
          <w:lang w:val="es-CR"/>
        </w:rPr>
        <w:br/>
        <w:t>Consideramos que Costa Rica no necesita desmontar un modelo que ha permitido alcanzar elevados niveles de cobertura, estabilidad y generación renovable.</w:t>
      </w:r>
      <w:r w:rsidRPr="00005674">
        <w:rPr>
          <w:rFonts w:ascii="Verdana" w:hAnsi="Verdana"/>
          <w:sz w:val="22"/>
          <w:lang w:val="es-CR"/>
        </w:rPr>
        <w:br/>
      </w:r>
      <w:r w:rsidRPr="00005674">
        <w:rPr>
          <w:rFonts w:ascii="Verdana" w:hAnsi="Verdana"/>
          <w:sz w:val="22"/>
          <w:lang w:val="es-CR"/>
        </w:rPr>
        <w:b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Pr="00005674">
        <w:rPr>
          <w:rFonts w:ascii="Verdana" w:hAnsi="Verdana"/>
          <w:sz w:val="22"/>
          <w:lang w:val="es-CR"/>
        </w:rPr>
        <w:br/>
      </w:r>
      <w:r w:rsidRPr="00005674">
        <w:rPr>
          <w:rFonts w:ascii="Verdana" w:hAnsi="Verdana"/>
          <w:sz w:val="22"/>
          <w:lang w:val="es-CR"/>
        </w:rPr>
        <w:b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Pr="00005674">
        <w:rPr>
          <w:rFonts w:ascii="Verdana" w:hAnsi="Verdana"/>
          <w:sz w:val="22"/>
          <w:lang w:val="es-CR"/>
        </w:rPr>
        <w:br/>
      </w:r>
      <w:r w:rsidRPr="00005674">
        <w:rPr>
          <w:rFonts w:ascii="Verdana" w:hAnsi="Verdana"/>
          <w:sz w:val="22"/>
          <w:lang w:val="es-CR"/>
        </w:rPr>
        <w:br/>
      </w:r>
      <w:r w:rsidRPr="00005674">
        <w:rPr>
          <w:rFonts w:ascii="Verdana" w:hAnsi="Verdana"/>
          <w:b/>
          <w:sz w:val="22"/>
          <w:lang w:val="es-CR"/>
        </w:rPr>
        <w:t>Saludos cordiales.</w:t>
      </w:r>
      <w:r w:rsidRPr="00005674">
        <w:rPr>
          <w:rFonts w:ascii="Verdana" w:hAnsi="Verdana"/>
          <w:sz w:val="22"/>
          <w:lang w:val="es-CR"/>
        </w:rPr>
        <w:br/>
      </w:r>
    </w:p>
    <w:p w14:paraId="267EB689" w14:textId="3289AAB7" w:rsidR="00F42841" w:rsidRPr="00005674" w:rsidRDefault="00F42841">
      <w:pPr>
        <w:rPr>
          <w:rFonts w:ascii="Verdana" w:hAnsi="Verdana"/>
          <w:sz w:val="22"/>
          <w:lang w:val="es-CR"/>
        </w:rPr>
      </w:pPr>
      <w:r w:rsidRPr="00005674">
        <w:rPr>
          <w:rFonts w:ascii="Verdana" w:hAnsi="Verdana"/>
          <w:sz w:val="22"/>
          <w:lang w:val="es-CR"/>
        </w:rPr>
        <w:br w:type="page"/>
      </w:r>
    </w:p>
    <w:p w14:paraId="51238EFB" w14:textId="77C2CF2C" w:rsidR="008703C9" w:rsidRPr="00FC7240" w:rsidRDefault="00FC7240" w:rsidP="008703C9">
      <w:pPr>
        <w:jc w:val="center"/>
        <w:rPr>
          <w:rFonts w:ascii="Verdana" w:hAnsi="Verdana"/>
          <w:b/>
          <w:bCs/>
          <w:sz w:val="22"/>
          <w:highlight w:val="green"/>
          <w:lang w:val="es-CR"/>
        </w:rPr>
      </w:pPr>
      <w:r w:rsidRPr="00FC7240">
        <w:rPr>
          <w:rFonts w:ascii="Verdana" w:hAnsi="Verdana"/>
          <w:b/>
          <w:bCs/>
          <w:sz w:val="22"/>
          <w:highlight w:val="green"/>
          <w:lang w:val="es-CR"/>
        </w:rPr>
        <w:lastRenderedPageBreak/>
        <w:t xml:space="preserve">OPCIÓN 2: </w:t>
      </w:r>
      <w:r w:rsidR="008703C9" w:rsidRPr="00FC7240">
        <w:rPr>
          <w:rFonts w:ascii="Verdana" w:hAnsi="Verdana"/>
          <w:b/>
          <w:bCs/>
          <w:sz w:val="22"/>
          <w:highlight w:val="green"/>
          <w:lang w:val="es-CR"/>
        </w:rPr>
        <w:t>un correo personalizado para cada persona diputada.</w:t>
      </w:r>
    </w:p>
    <w:p w14:paraId="5C3118EF" w14:textId="77777777" w:rsidR="008703C9" w:rsidRPr="00FC7240" w:rsidRDefault="008703C9" w:rsidP="008703C9">
      <w:pPr>
        <w:rPr>
          <w:rFonts w:ascii="Verdana" w:hAnsi="Verdana"/>
          <w:b/>
          <w:bCs/>
          <w:sz w:val="22"/>
          <w:lang w:val="es-CR"/>
        </w:rPr>
      </w:pPr>
      <w:r w:rsidRPr="00FC7240">
        <w:rPr>
          <w:rFonts w:ascii="Verdana" w:hAnsi="Verdana"/>
          <w:b/>
          <w:bCs/>
          <w:sz w:val="22"/>
          <w:highlight w:val="cyan"/>
          <w:lang w:val="es-CR"/>
        </w:rPr>
        <w:t>Asunto sugerido:</w:t>
      </w:r>
    </w:p>
    <w:p w14:paraId="62967C49" w14:textId="77777777" w:rsidR="008703C9" w:rsidRPr="00005674" w:rsidRDefault="008703C9" w:rsidP="008703C9">
      <w:pPr>
        <w:rPr>
          <w:rFonts w:ascii="Verdana" w:hAnsi="Verdana"/>
          <w:sz w:val="22"/>
          <w:lang w:val="es-CR"/>
        </w:rPr>
      </w:pPr>
      <w:r w:rsidRPr="00005674">
        <w:rPr>
          <w:rFonts w:ascii="Verdana" w:hAnsi="Verdana"/>
          <w:sz w:val="22"/>
          <w:lang w:val="es-CR"/>
        </w:rPr>
        <w:t>Solicitud de rechazo y archivo definitivo del expediente legislativo N.° 23.414, “Ley de Armonización del Sistema Eléctrico Nacional”</w:t>
      </w:r>
    </w:p>
    <w:p w14:paraId="72431E44" w14:textId="63B08A5C" w:rsidR="008703C9" w:rsidRPr="00FC7240" w:rsidRDefault="008703C9" w:rsidP="008703C9">
      <w:pPr>
        <w:rPr>
          <w:rFonts w:ascii="Verdana" w:hAnsi="Verdana"/>
          <w:b/>
          <w:bCs/>
          <w:sz w:val="22"/>
          <w:lang w:val="es-CR"/>
        </w:rPr>
      </w:pPr>
      <w:r w:rsidRPr="00FC7240">
        <w:rPr>
          <w:rFonts w:ascii="Verdana" w:hAnsi="Verdana"/>
          <w:b/>
          <w:bCs/>
          <w:sz w:val="22"/>
          <w:highlight w:val="cyan"/>
          <w:lang w:val="es-CR"/>
        </w:rPr>
        <w:t xml:space="preserve">La cartas sugeridas son las </w:t>
      </w:r>
      <w:r w:rsidR="00FC7240">
        <w:rPr>
          <w:rFonts w:ascii="Verdana" w:hAnsi="Verdana"/>
          <w:b/>
          <w:bCs/>
          <w:sz w:val="22"/>
          <w:highlight w:val="cyan"/>
          <w:lang w:val="es-CR"/>
        </w:rPr>
        <w:t xml:space="preserve">siguientes (cada carta empieza en una página </w:t>
      </w:r>
      <w:r w:rsidR="00D76507">
        <w:rPr>
          <w:rFonts w:ascii="Verdana" w:hAnsi="Verdana"/>
          <w:b/>
          <w:bCs/>
          <w:sz w:val="22"/>
          <w:highlight w:val="cyan"/>
          <w:lang w:val="es-CR"/>
        </w:rPr>
        <w:t>nueva</w:t>
      </w:r>
      <w:r w:rsidR="00FC7240">
        <w:rPr>
          <w:rFonts w:ascii="Verdana" w:hAnsi="Verdana"/>
          <w:b/>
          <w:bCs/>
          <w:sz w:val="22"/>
          <w:highlight w:val="cyan"/>
          <w:lang w:val="es-CR"/>
        </w:rPr>
        <w:t>)</w:t>
      </w:r>
      <w:r w:rsidRPr="00FC7240">
        <w:rPr>
          <w:rFonts w:ascii="Verdana" w:hAnsi="Verdana"/>
          <w:b/>
          <w:bCs/>
          <w:sz w:val="22"/>
          <w:highlight w:val="cyan"/>
          <w:lang w:val="es-CR"/>
        </w:rPr>
        <w:t>:</w:t>
      </w:r>
    </w:p>
    <w:p w14:paraId="186D3BB3" w14:textId="77777777" w:rsidR="00F71D19" w:rsidRPr="00005674" w:rsidRDefault="00F71D19">
      <w:pPr>
        <w:rPr>
          <w:rFonts w:ascii="Verdana" w:hAnsi="Verdana"/>
          <w:sz w:val="22"/>
          <w:lang w:val="es-CR"/>
        </w:rPr>
      </w:pPr>
    </w:p>
    <w:p w14:paraId="064961AF" w14:textId="2E2339CD" w:rsidR="00853AFB" w:rsidRPr="00005674" w:rsidRDefault="00000000">
      <w:pPr>
        <w:rPr>
          <w:rFonts w:ascii="Verdana" w:hAnsi="Verdana"/>
          <w:sz w:val="22"/>
        </w:rPr>
      </w:pP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Abril Gordienko - abril.gordienko@asamblea.go.cr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electricidad constituye un servicio esencial para la vida cotidiana, la educación, el trabajo, la producción nacional y el bienestar de la población, por lo que las decisiones relativas a su generación, transmisión, distribución, planificación y </w:t>
      </w:r>
      <w:r w:rsidRPr="00005674">
        <w:rPr>
          <w:rFonts w:ascii="Verdana" w:hAnsi="Verdana"/>
          <w:sz w:val="22"/>
          <w:lang w:val="es-CR"/>
        </w:rPr>
        <w:lastRenderedPageBreak/>
        <w:t>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este modelo ha permitido democratizar el acceso a la electricidad y garantizar que comunidades rurales, costeras, fronterizas y alejadas también formen parte del 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xml:space="preserve">) de la Gerencia de Electricidad </w:t>
      </w:r>
      <w:r w:rsidRPr="00005674">
        <w:rPr>
          <w:rFonts w:ascii="Verdana" w:hAnsi="Verdana"/>
          <w:sz w:val="22"/>
          <w:lang w:val="es-CR"/>
        </w:rPr>
        <w:lastRenderedPageBreak/>
        <w:t>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resulta particularmente preocupante que esta decisión institucional se produzca mientras el expediente N.° 23.414 continúa pendiente de discusión legislativa, pues 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el propio proceso legislativo relacionado con el expediente N.° 23.414 ha sido objeto de señalamientos técnicos y jurídicos, incluyendo advertencias sobre problemas </w:t>
      </w:r>
      <w:r w:rsidRPr="00005674">
        <w:rPr>
          <w:rFonts w:ascii="Verdana" w:hAnsi="Verdana"/>
          <w:sz w:val="22"/>
          <w:lang w:val="es-CR"/>
        </w:rPr>
        <w:lastRenderedPageBreak/>
        <w:t>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solicitamos respetuosamente a usted, 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Alvaro Ramirez - alvaro.ramirez@asamblea.go.cr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Andrea Valverde - andrea.valverde@asamblea.go.cr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Angela Aguilar - angela.aguilar@asamblea.go.cr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Ana Ruth Esquivel - anaruth.esquivel@asamblea.go.cr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Anna Muller - anna.muller@asamblea.go.cr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Antonio Barzuna - antonio.barzuna@asamblea.go.cr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Ariel Mora - ariel.mora@asamblea.go.cr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Cindy Blanco - cindy.blanco@asamblea.go.cr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Cindy Murillo - cindy.murillo@asamblea.go.cr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Claudia Dobles - claudia.dobles@asamblea.go.cr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Daniel Siezar - daniel.siezar@asamblea.go.cr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Diana Murillo - diana.murillo@asamblea.go.cr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Eder Hernandez - eder.hernandez@asamblea.go.cr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Esmeralda Britton - esmeralda.britton@asamblea.go.cr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Fernando Obaldia - fernando.obaldia@asamblea.go.cr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Gerald Bogantes - gerald.bogantes@asamblea.go.cr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Gonzalo Ramirez - gonzalo.ramirez@asamblea.go.cr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Grethel Ávila - grethel.avila@asamblea.go.cr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Iztarú Alfaro - iztaru.alfaro@asamblea.go.cr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Janice Sandi - janice.sandi@asamblea.go.cr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Jesus Calderon - jesus.calderon@asamblea.go.cr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José Villalobos - jose.villalobos@asamblea.go.cr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Juan Quesada - juan.quesada@asamblea.go.cr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Karen Alfaro - karen.alfaro@asamblea.go.cr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Karol Matamoros - karol.matamoros@asamblea.go.cr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Kattya Mora - kattya.mora@asamblea.go.cr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Kattia Calvo - kattia.calvo@asamblea.go.cr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Kattia Ulate - kattia.ulate@asamblea.go.cr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Kristel Ward - kristel.ward@asamblea.go.cr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proofErr w:type="spellStart"/>
      <w:r w:rsidRPr="00005674">
        <w:rPr>
          <w:rFonts w:ascii="Verdana" w:hAnsi="Verdana"/>
          <w:sz w:val="22"/>
          <w:lang w:val="es-CR"/>
        </w:rPr>
        <w:t>Mangell</w:t>
      </w:r>
      <w:proofErr w:type="spellEnd"/>
      <w:r w:rsidRPr="00005674">
        <w:rPr>
          <w:rFonts w:ascii="Verdana" w:hAnsi="Verdana"/>
          <w:sz w:val="22"/>
          <w:lang w:val="es-CR"/>
        </w:rPr>
        <w:t xml:space="preserve"> </w:t>
      </w:r>
      <w:proofErr w:type="spellStart"/>
      <w:r w:rsidRPr="00005674">
        <w:rPr>
          <w:rFonts w:ascii="Verdana" w:hAnsi="Verdana"/>
          <w:sz w:val="22"/>
          <w:lang w:val="es-CR"/>
        </w:rPr>
        <w:t>Mclean</w:t>
      </w:r>
      <w:proofErr w:type="spellEnd"/>
      <w:r w:rsidRPr="00005674">
        <w:rPr>
          <w:rFonts w:ascii="Verdana" w:hAnsi="Verdana"/>
          <w:sz w:val="22"/>
          <w:lang w:val="es-CR"/>
        </w:rPr>
        <w:t xml:space="preserve"> - mangell.mclean@asamblea.go.cr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Marco Badilla - marco.badilla@asamblea.go.cr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María Isabel Camareno - mariaisabel.camareno@asamblea.go.cr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Marta Esquivel - marta.esquivel@asamblea.go.cr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Mayuli Ortega - mayuli.ortega@asamblea.go.cr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Nayuribe Guadamuz - nayuribe.guadamuz@asamblea.go.cr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Nogui Acosta - nogui.acosta@asamblea.go.cr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Norjelens Lobo - norjelens.lobo@asamblea.go.cr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Osvaldo Artavia - osvaldo.artavia@asamblea.go.cr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Rafael Vargas - rafael.vargasb@asamblea.go.cr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Reynaldo Arias - reynaldo.arias@asamblea.go.cr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Roberth Barrantes - roberth.barrantes@asamblea.go.cr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Ronald Campos - ronald.campos@asamblea.go.cr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proofErr w:type="spellStart"/>
      <w:r w:rsidRPr="00005674">
        <w:rPr>
          <w:rFonts w:ascii="Verdana" w:hAnsi="Verdana"/>
          <w:sz w:val="22"/>
          <w:lang w:val="es-CR"/>
        </w:rPr>
        <w:t>Royner</w:t>
      </w:r>
      <w:proofErr w:type="spellEnd"/>
      <w:r w:rsidRPr="00005674">
        <w:rPr>
          <w:rFonts w:ascii="Verdana" w:hAnsi="Verdana"/>
          <w:sz w:val="22"/>
          <w:lang w:val="es-CR"/>
        </w:rPr>
        <w:t xml:space="preserve"> Mora - royner.mora@asamblea.go.cr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Salvador Padilla - salvador.padilla@asamblea.go.cr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Stephan Brunner - stephan.brunner@asamblea.go.cr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Victor Hidalgo - victor.hidalgo@asamblea.go.cr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Wilson Jiménez - wilson.jimenez@asamblea.go.cr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Yara Jiménez - yara.jimenez@asamblea.go.cr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Zaira Murillo - zaira.murillo@asamblea.go.cr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José María Villalta Flórez-Estrada - josemaria.villalta@asamblea.go.cr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Vianey Mora Vega - vianey.mora@asamblea.go.cr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Antonio Trejos Mazariegos - antonio.trejos@asamblea.go.cr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 Diputado</w:t>
      </w:r>
      <w:r w:rsidR="003C384A" w:rsidRPr="00005674">
        <w:rPr>
          <w:rFonts w:ascii="Verdana" w:hAnsi="Verdana"/>
          <w:sz w:val="22"/>
          <w:lang w:val="es-CR"/>
        </w:rPr>
        <w:br/>
      </w:r>
      <w:r w:rsidRPr="00005674">
        <w:rPr>
          <w:rFonts w:ascii="Verdana" w:hAnsi="Verdana"/>
          <w:sz w:val="22"/>
          <w:lang w:val="es-CR"/>
        </w:rPr>
        <w:t>Edgardo Araya Sibaja - edgardo.arayaa@asamblea.go.cr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Estimado señor diputado: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Sigrid Segura Artavia - sigrid.segura@asamblea.go.cr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Joselyn Sáenz Núñez - joselyn.saenz@asamblea.go.cr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Saludos cordiales.</w:t>
      </w:r>
      <w:r w:rsidR="003C384A" w:rsidRPr="00005674">
        <w:rPr>
          <w:rFonts w:ascii="Verdana" w:hAnsi="Verdana"/>
          <w:sz w:val="22"/>
          <w:lang w:val="es-CR"/>
        </w:rPr>
        <w:br/>
      </w:r>
      <w:r w:rsidRPr="00005674">
        <w:rPr>
          <w:rFonts w:ascii="Verdana" w:hAnsi="Verdana"/>
          <w:sz w:val="22"/>
          <w:lang w:val="es-CR"/>
        </w:rPr>
        <w:br w:type="page"/>
      </w:r>
      <w:r w:rsidR="003C384A" w:rsidRPr="00005674">
        <w:rPr>
          <w:rFonts w:ascii="Verdana" w:hAnsi="Verdana"/>
          <w:sz w:val="22"/>
          <w:lang w:val="es-CR"/>
        </w:rPr>
        <w:lastRenderedPageBreak/>
        <w:br/>
      </w:r>
      <w:r w:rsidRPr="00005674">
        <w:rPr>
          <w:rFonts w:ascii="Verdana" w:hAnsi="Verdana"/>
          <w:sz w:val="22"/>
          <w:lang w:val="es-CR"/>
        </w:rPr>
        <w:t>Señora Diputada</w:t>
      </w:r>
      <w:r w:rsidR="003C384A" w:rsidRPr="00005674">
        <w:rPr>
          <w:rFonts w:ascii="Verdana" w:hAnsi="Verdana"/>
          <w:sz w:val="22"/>
          <w:lang w:val="es-CR"/>
        </w:rPr>
        <w:br/>
      </w:r>
      <w:r w:rsidRPr="00005674">
        <w:rPr>
          <w:rFonts w:ascii="Verdana" w:hAnsi="Verdana"/>
          <w:sz w:val="22"/>
          <w:lang w:val="es-CR"/>
        </w:rPr>
        <w:t>María Eugenia Román Mora - meroman@asamblea.go.cr</w:t>
      </w:r>
      <w:r w:rsidR="003C384A" w:rsidRPr="00005674">
        <w:rPr>
          <w:rFonts w:ascii="Verdana" w:hAnsi="Verdana"/>
          <w:sz w:val="22"/>
          <w:lang w:val="es-CR"/>
        </w:rPr>
        <w:br/>
      </w:r>
      <w:r w:rsidRPr="00005674">
        <w:rPr>
          <w:rFonts w:ascii="Verdana" w:hAnsi="Verdana"/>
          <w:sz w:val="22"/>
          <w:lang w:val="es-CR"/>
        </w:rPr>
        <w:t>Asamblea Legislativa de la República de Costa Rica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Estimada señora diputada: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Reciba un cordial saludo.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medio de la presente, nos dirigimos respetuosamente para manifestar nuestra </w:t>
      </w:r>
      <w:r w:rsidRPr="00005674">
        <w:rPr>
          <w:rFonts w:ascii="Verdana" w:hAnsi="Verdana"/>
          <w:b/>
          <w:sz w:val="22"/>
          <w:lang w:val="es-CR"/>
        </w:rPr>
        <w:t>firme oposición al expediente legislativo N.° 23.414, denominado “Ley de Armonización del Sistema Eléctrico Nacional”</w:t>
      </w:r>
      <w:r w:rsidRPr="00005674">
        <w:rPr>
          <w:rFonts w:ascii="Verdana" w:hAnsi="Verdana"/>
          <w:sz w:val="22"/>
          <w:lang w:val="es-CR"/>
        </w:rPr>
        <w:t>, y solicitarle que vote en contra de esta iniciativa, así como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este proyecto representa una amenaza para el modelo eléctrico solidario que Costa Rica ha construido durante décadas y que ha permitido garantizar una amplia cobertura, estabilidad, acceso universal y una matriz eléctrica predominantemente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advertimos que la iniciativa debilitará las capacidades estratégicas del Instituto Costarricense de Electricidad (ICE), favorece una mayor participación de intereses privados en decisiones fundamentales del sistema eléctrico y trasladará mayores costos y riesgos a las personas usuarias.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Por estas razones, exponemos lo siguiente: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CONSIDERANDO: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PRIMERO: La electricidad como servicio público esencial y derecho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constituye un servicio esencial para la vida cotidiana, la educación, el trabajo, la producción nacional y el bienestar de la población, por lo que las decisiones relativas a su generación, transmisión, distribución, planificación y comercialización deben responder prioritariamente al interés público y no a criterios de rentabilidad privada.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alcanzado una cobertura eléctrica superior al 99% y una elevada participación de fuentes renovables en su matriz eléctrica, los cuales son logros que constituyen un patrimonio colectivo construido en décadas de inversión pública, planificación y desarrollo de capacidades técnicas e institucionales.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este modelo ha permitido democratizar el acceso a la electricidad y garantizar que comunidades rurales, costeras, fronterizas y alejadas también formen parte del </w:t>
      </w:r>
      <w:r w:rsidRPr="00005674">
        <w:rPr>
          <w:rFonts w:ascii="Verdana" w:hAnsi="Verdana"/>
          <w:sz w:val="22"/>
          <w:lang w:val="es-CR"/>
        </w:rPr>
        <w:lastRenderedPageBreak/>
        <w:t>sistema eléctrico nacional, lo que contribuye a reducir desigualdades territoriales y sociales.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SEGUNDO: La defensa del modelo eléctrico solidario y del papel estratégico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modelo eléctrico costarricense ha sido desarrollado sobre principios de solidaridad, planificación pública y articulación institucional, con el ICE como actor fundamental en la conducción y expansión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pretende modificar sustancialmente este modelo, debilitará las funciones históricas del ICE y trasladará competencias estratégicas hacia nuevas estructuras y mecanismos de mercado.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la propuesta contempla la creación del denominado </w:t>
      </w:r>
      <w:r w:rsidRPr="00005674">
        <w:rPr>
          <w:rFonts w:ascii="Verdana" w:hAnsi="Verdana"/>
          <w:b/>
          <w:sz w:val="22"/>
          <w:lang w:val="es-CR"/>
        </w:rPr>
        <w:t>Ente Coordinador del Sistema Eléctrico Nacional (</w:t>
      </w:r>
      <w:proofErr w:type="spellStart"/>
      <w:r w:rsidRPr="00005674">
        <w:rPr>
          <w:rFonts w:ascii="Verdana" w:hAnsi="Verdana"/>
          <w:b/>
          <w:sz w:val="22"/>
          <w:lang w:val="es-CR"/>
        </w:rPr>
        <w:t>ECOSEN</w:t>
      </w:r>
      <w:proofErr w:type="spellEnd"/>
      <w:r w:rsidRPr="00005674">
        <w:rPr>
          <w:rFonts w:ascii="Verdana" w:hAnsi="Verdana"/>
          <w:b/>
          <w:sz w:val="22"/>
          <w:lang w:val="es-CR"/>
        </w:rPr>
        <w:t>)</w:t>
      </w:r>
      <w:r w:rsidRPr="00005674">
        <w:rPr>
          <w:rFonts w:ascii="Verdana" w:hAnsi="Verdana"/>
          <w:sz w:val="22"/>
          <w:lang w:val="es-CR"/>
        </w:rPr>
        <w:t>, al cual se pretenden trasladar funciones fundamentales relacionadas con la operación, planificación y funcionamiento del sistema eléctrico, e introduce una nueva estructura institucional en un ámbito donde el país ha acumulado durante décadas capacidades técnicas y experiencia especializada.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transformación de esta naturaleza no constituye una simple modernización administrativa, sino un cambio profundo en la forma de organizar, planificar y gobernar uno de los sectores estratégicos para el desarrollo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TERCERO: El riesgo de fragmentación y debilitamiento de la planificación pública del sistema eléctrico.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proyecto sustituye el esquema de planificación directiva y vinculante que históricamente ha permitido al país ordenar el desarrollo de su matriz eléctrica por un modelo de planificación indicativa, en el cual las señales del mercado adquieren un papel determinante en las decisiones sobre las nuevas inversiones y fuentes de generación.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planificación eléctrica requiere considerar de manera integrada la seguridad energética, la disponibilidad de recursos, las necesidades futuras de demanda, la confiabilidad del sistema, los tiempos de construcción de infraestructura y el equilibrio entre fuentes de energía firme y variable.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trasladar estas decisiones fundamentales a una lógica predominantemente de mercado generará fragmentación,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capacidad, mayores necesidades de infraestructura de respaldo, volatilidad de precios y dificultades para garantizar oportunamente la expansión y confiabilidad del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lastRenderedPageBreak/>
        <w:t>Que, por tanto, la defensa de la planificación pública y de las capacidades técnicas acumuladas por el ICE constituye una condición fundamental para preservar la seguridad energética y 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CUARTO: El riesgo de aumento de las tarifas eléctricas y de mayores costos para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establece mecanismos que permitirá a grandes consumidores adquirir electricidad directamente de empresas generadoras privadas, modificando el actual esquema solidario mediante el cual los distintos sectores participan de un sistema integrado.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esta fragmentación puede reducir los ingresos con los cuales actualmente se financian costos comunes, inversiones y expansión del sistema eléctrico, y traslada una mayor carga relativa de las tarifas hacia las personas usuarias residenciales, pequeños comercios y, en general, a los sectores más empobrecidos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además, la creación de nuevas estructuras institucionales y mecanismos de mercado supone costos adicionales de operación, regulación y administración que, en última instancia, se trasladarán a la ciudadanía.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actual modelo también permite que los ingresos obtenidos por el ICE mediante sus operaciones en el Mercado Eléctrico Regional contribuyan a beneficiar a la población costarricense mediante los mecanismos tarifarios establecidos por la regulación vigente; por lo que una mayor participación privada en dichas operaciones significará la pérdida de estos beneficios colectivos.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en consecuencia, no resulta aceptable que bajo el discurso de la </w:t>
      </w:r>
      <w:r w:rsidRPr="00005674">
        <w:rPr>
          <w:rFonts w:ascii="Verdana" w:hAnsi="Verdana"/>
          <w:i/>
          <w:sz w:val="22"/>
          <w:lang w:val="es-CR"/>
        </w:rPr>
        <w:t>modernización</w:t>
      </w:r>
      <w:r w:rsidRPr="00005674">
        <w:rPr>
          <w:rFonts w:ascii="Verdana" w:hAnsi="Verdana"/>
          <w:sz w:val="22"/>
          <w:lang w:val="es-CR"/>
        </w:rPr>
        <w:t xml:space="preserve"> se impulse una transformación cuyos costos y riesgos terminarán siendo asumidos por las familias, las personas trabajadoras, los pequeños comercios y los sectores sociales con menor capacidad económica.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QUINTO: Las amenazas para la seguridad, estabilidad y confiabilidad del Sistema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un sistema eléctrico caracterizado por altos niveles de cobertura, estabilidad y participación de fuentes renovables, lo cual resulta de una planificación integrada y de las capacidades técnicas desarrolladas por el ICE y las demás instituciones que conforman el sistema.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generación eléctrica no puede analizarse únicamente desde la perspectiva de la competencia y el precio de corto plazo, pues requiere garantizar en todo momento el equilibrio entre generación y demanda, así como contar con suficiente energía firme y capacidad de respaldo.</w:t>
      </w:r>
      <w:r w:rsidR="003C384A" w:rsidRPr="00005674">
        <w:rPr>
          <w:rFonts w:ascii="Verdana" w:hAnsi="Verdana"/>
          <w:sz w:val="22"/>
          <w:lang w:val="es-CR"/>
        </w:rPr>
        <w:br/>
      </w:r>
      <w:r w:rsidR="003C384A" w:rsidRPr="00005674">
        <w:rPr>
          <w:rFonts w:ascii="Verdana" w:hAnsi="Verdana"/>
          <w:sz w:val="22"/>
          <w:lang w:val="es-CR"/>
        </w:rPr>
        <w:lastRenderedPageBreak/>
        <w:br/>
      </w:r>
      <w:r w:rsidRPr="00005674">
        <w:rPr>
          <w:rFonts w:ascii="Verdana" w:hAnsi="Verdana"/>
          <w:sz w:val="22"/>
          <w:lang w:val="es-CR"/>
        </w:rPr>
        <w:t xml:space="preserve">Que los cambios hacia mercados eléctricos liberalizados pueden generar fenómenos como volatilidad de precios, </w:t>
      </w:r>
      <w:proofErr w:type="spellStart"/>
      <w:r w:rsidRPr="00005674">
        <w:rPr>
          <w:rFonts w:ascii="Verdana" w:hAnsi="Verdana"/>
          <w:sz w:val="22"/>
          <w:lang w:val="es-CR"/>
        </w:rPr>
        <w:t>sobreinstalación</w:t>
      </w:r>
      <w:proofErr w:type="spellEnd"/>
      <w:r w:rsidRPr="00005674">
        <w:rPr>
          <w:rFonts w:ascii="Verdana" w:hAnsi="Verdana"/>
          <w:sz w:val="22"/>
          <w:lang w:val="es-CR"/>
        </w:rPr>
        <w:t xml:space="preserve"> de generación y necesidad de nuevas inversiones en infraestructura de respaldo, con consecuencias tanto económicas como operativas.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experiencia internacional sustenta esta posición y evidencia los riesgos que pueden surgir cuando la expansión de la generación y la infraestructura eléctrica no se articula mediante una planificación conjunta de largo plazo.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SEXTO: Los riesgos ambientales, territoriales y para la soberanía energética.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una apertura mayor del mercado de generación puede incrementar los incentivos para desarrollar proyectos privados de generación eléctrica en ríos, cuencas y territorios, sin que necesariamente prevalezcan las necesidades sociales, ambientales y territoriales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los recursos naturales utilizados para producir electricidad constituyen bienes estratégicos del país y deben ser gestionados bajo criterios de interés público, sostenibilidad ambiental, soberanía y protección de las comunidades.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Costa Rica ha construido su liderazgo internacional en materia de transición energética sobre la base de una planificación pública de sus recursos y de una matriz predominantemente renovable, por lo que cualquier modificación del modelo eléctrico debe preservar y fortalecer, y no poner en riesgo, estos logros.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y los recursos naturales que permiten producirla no deben convertirse en simples mercancías subordinadas a la lógica de maximización del lucro privado.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SÉTIMO: La preocupante disolución de la Dirección de Planificación y Sostenibilidad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Dirección de Planificación y Sostenibilidad (</w:t>
      </w:r>
      <w:proofErr w:type="spellStart"/>
      <w:r w:rsidRPr="00005674">
        <w:rPr>
          <w:rFonts w:ascii="Verdana" w:hAnsi="Verdana"/>
          <w:sz w:val="22"/>
          <w:lang w:val="es-CR"/>
        </w:rPr>
        <w:t>DPS</w:t>
      </w:r>
      <w:proofErr w:type="spellEnd"/>
      <w:r w:rsidRPr="00005674">
        <w:rPr>
          <w:rFonts w:ascii="Verdana" w:hAnsi="Verdana"/>
          <w:sz w:val="22"/>
          <w:lang w:val="es-CR"/>
        </w:rPr>
        <w:t>) de la Gerencia de Electricidad del ICE ha desempeñado históricamente un papel fundamental en la elaboración del Plan de Expansión de la Generación y en la planificación del desarrollo eléctrico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según ha sido denunciado públicamente por organizaciones integrantes del Movimiento por el Derecho a la Electricidad, el Consejo Directivo del ICE acordó disolver dicha Dirección el 22 de setiembre de 2026.</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Que resulta particularmente preocupante que esta decisión institucional se produzca mientras el expediente N.° 23.414 continúa pendiente de discusión legislativa, pues </w:t>
      </w:r>
      <w:r w:rsidRPr="00005674">
        <w:rPr>
          <w:rFonts w:ascii="Verdana" w:hAnsi="Verdana"/>
          <w:sz w:val="22"/>
          <w:lang w:val="es-CR"/>
        </w:rPr>
        <w:lastRenderedPageBreak/>
        <w:t>podría significar, en la práctica, la implementación anticipada de transformaciones institucionales asociadas con un proyecto que todavía no ha sido aprobado por la Asamblea Legislativa.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reciente reactivación de la discusión legislativa obliga a las personas diputadas a ejercer una especial vigilancia sobre cualquier modificación institucional que pueda comprometer las capacidades del ICE.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OCTAVO: La necesidad de preservar un modelo eléctrico al servicio del interés público.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expediente N.° 23.414 no debe ser valorado únicamente como una reforma técnica o administrativa, pues modifica la relación entre el Estado, el ICE, las empresas privadas, las familias costarricenses y los recursos energéticos del país.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se encuentra en discusión quién planificará el desarrollo eléctrico nacional, bajo qué criterios se toman las decisiones estratégicas, quién controla los recursos energéticos y quién recibe los beneficios derivados de su explotación.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la electricidad debe continuar siendo entendida como un servicio público esencial y como un componente fundamental de las condiciones materiales para una vida digna, y no como una mercancía subordinada a los intereses de los grandes actores económicos.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NOVENO: La responsabilidad de la Asamblea Legislativa ante una reforma de esta trascendencia.</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corresponde a la Asamblea Legislativa proteger el interés público, la institucionalidad nacional y los derechos de la población, particularmente cuando se encuentran en juego servicios públicos estratégicos y bienes naturales de importancia nacional.</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el propio proceso legislativo relacionado con el expediente N.° 23.414 ha sido objeto de señalamientos técnicos y jurídicos, incluyendo advertencias sobre problemas de legalidad y constitucionalidad y sobre la necesidad de realizar ajustes al texto.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Que, en mayo de 2026, una amplia movilización de organizaciones sindicales, estudiantiles, sociales, ambientales, comunitarias y de diversos sectores de la sociedad costarricense expresó públicamente su repudio y oposición al proyecto, con lo que se logró que este no alcanzara los 38 votos requeridos para su aprobación.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lang w:val="es-CR"/>
        </w:rPr>
        <w:t>POR TANTO: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las razones anteriormente expuestas, </w:t>
      </w:r>
      <w:r w:rsidRPr="00005674">
        <w:rPr>
          <w:rFonts w:ascii="Verdana" w:hAnsi="Verdana"/>
          <w:b/>
          <w:sz w:val="22"/>
          <w:lang w:val="es-CR"/>
        </w:rPr>
        <w:t xml:space="preserve">solicitamos respetuosamente a usted, </w:t>
      </w:r>
      <w:r w:rsidRPr="00005674">
        <w:rPr>
          <w:rFonts w:ascii="Verdana" w:hAnsi="Verdana"/>
          <w:b/>
          <w:sz w:val="22"/>
          <w:lang w:val="es-CR"/>
        </w:rPr>
        <w:lastRenderedPageBreak/>
        <w:t>en su condición de persona diputada de la República, que vote en contra del expediente legislativo N.° 23.414, “Ley de Armonización del Sistema Eléctrico Nacional”, y que apoye su archivo definitivo.</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Asimismo, le solicitamos que, en el ejercicio de sus responsabilidades constitucionales y políticas, contribuya a preservar el modelo eléctrico solidario costarricense, el carácter estratégico del ICE, la planificación pública del Sistema Eléctrico Nacional, el acceso universal a la electricidad y la protección de los recursos naturales y de los intereses de la población.</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Consideramos que Costa Rica no necesita desmontar un modelo que ha permitido alcanzar elevados niveles de cobertura, estabilidad y generación renovable.</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 xml:space="preserve">Por el contrario, el país requiere </w:t>
      </w:r>
      <w:r w:rsidRPr="00005674">
        <w:rPr>
          <w:rFonts w:ascii="Verdana" w:hAnsi="Verdana"/>
          <w:b/>
          <w:sz w:val="22"/>
          <w:lang w:val="es-CR"/>
        </w:rPr>
        <w:t>fortalecer las capacidades del ICE y garantizar que la política energética responda al interés colectivo y a las necesidades de las actuales y futuras generaciones.</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sz w:val="22"/>
          <w:lang w:val="es-CR"/>
        </w:rPr>
        <w:t>Defender el modelo eléctrico solidario significa también defender la soberanía nacional, la justicia social, los bienes comunes, la protección ambiental y el derecho de toda la población a acceder a servicios públicos esenciales bajo condiciones de calidad, estabilidad y equidad.</w:t>
      </w:r>
      <w:r w:rsidR="003C384A" w:rsidRPr="00005674">
        <w:rPr>
          <w:rFonts w:ascii="Verdana" w:hAnsi="Verdana"/>
          <w:sz w:val="22"/>
          <w:lang w:val="es-CR"/>
        </w:rPr>
        <w:br/>
      </w:r>
      <w:r w:rsidR="003C384A" w:rsidRPr="00005674">
        <w:rPr>
          <w:rFonts w:ascii="Verdana" w:hAnsi="Verdana"/>
          <w:sz w:val="22"/>
          <w:lang w:val="es-CR"/>
        </w:rPr>
        <w:br/>
      </w:r>
      <w:r w:rsidRPr="00005674">
        <w:rPr>
          <w:rFonts w:ascii="Verdana" w:hAnsi="Verdana"/>
          <w:b/>
          <w:sz w:val="22"/>
        </w:rPr>
        <w:t xml:space="preserve">Saludos </w:t>
      </w:r>
      <w:proofErr w:type="spellStart"/>
      <w:r w:rsidRPr="00005674">
        <w:rPr>
          <w:rFonts w:ascii="Verdana" w:hAnsi="Verdana"/>
          <w:b/>
          <w:sz w:val="22"/>
        </w:rPr>
        <w:t>cordiales</w:t>
      </w:r>
      <w:proofErr w:type="spellEnd"/>
      <w:r w:rsidRPr="00005674">
        <w:rPr>
          <w:rFonts w:ascii="Verdana" w:hAnsi="Verdana"/>
          <w:b/>
          <w:sz w:val="22"/>
        </w:rPr>
        <w:t>.</w:t>
      </w:r>
      <w:r w:rsidR="003C384A" w:rsidRPr="00005674">
        <w:rPr>
          <w:rFonts w:ascii="Verdana" w:hAnsi="Verdana"/>
          <w:sz w:val="22"/>
        </w:rPr>
        <w:br/>
      </w:r>
    </w:p>
    <w:sectPr w:rsidR="00853AFB" w:rsidRPr="00005674" w:rsidSect="00034616">
      <w:pgSz w:w="12240" w:h="15840"/>
      <w:pgMar w:top="1152"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6A26D" w14:textId="77777777" w:rsidR="004C404B" w:rsidRDefault="004C404B" w:rsidP="00DF3AB4">
      <w:pPr>
        <w:spacing w:after="0" w:line="240" w:lineRule="auto"/>
      </w:pPr>
      <w:r>
        <w:separator/>
      </w:r>
    </w:p>
  </w:endnote>
  <w:endnote w:type="continuationSeparator" w:id="0">
    <w:p w14:paraId="6F41680A" w14:textId="77777777" w:rsidR="004C404B" w:rsidRDefault="004C404B" w:rsidP="00DF3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EEF51" w14:textId="77777777" w:rsidR="004C404B" w:rsidRDefault="004C404B" w:rsidP="00DF3AB4">
      <w:pPr>
        <w:spacing w:after="0" w:line="240" w:lineRule="auto"/>
      </w:pPr>
      <w:r>
        <w:separator/>
      </w:r>
    </w:p>
  </w:footnote>
  <w:footnote w:type="continuationSeparator" w:id="0">
    <w:p w14:paraId="28A644AB" w14:textId="77777777" w:rsidR="004C404B" w:rsidRDefault="004C404B" w:rsidP="00DF3A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998604100">
    <w:abstractNumId w:val="8"/>
  </w:num>
  <w:num w:numId="2" w16cid:durableId="2077777119">
    <w:abstractNumId w:val="6"/>
  </w:num>
  <w:num w:numId="3" w16cid:durableId="658195481">
    <w:abstractNumId w:val="5"/>
  </w:num>
  <w:num w:numId="4" w16cid:durableId="1292322794">
    <w:abstractNumId w:val="4"/>
  </w:num>
  <w:num w:numId="5" w16cid:durableId="1802966431">
    <w:abstractNumId w:val="7"/>
  </w:num>
  <w:num w:numId="6" w16cid:durableId="41484813">
    <w:abstractNumId w:val="3"/>
  </w:num>
  <w:num w:numId="7" w16cid:durableId="1046375966">
    <w:abstractNumId w:val="2"/>
  </w:num>
  <w:num w:numId="8" w16cid:durableId="641538470">
    <w:abstractNumId w:val="1"/>
  </w:num>
  <w:num w:numId="9" w16cid:durableId="31727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5674"/>
    <w:rsid w:val="00034616"/>
    <w:rsid w:val="000517CD"/>
    <w:rsid w:val="0006063C"/>
    <w:rsid w:val="000B56B4"/>
    <w:rsid w:val="0014542D"/>
    <w:rsid w:val="0015074B"/>
    <w:rsid w:val="001724BC"/>
    <w:rsid w:val="0028304C"/>
    <w:rsid w:val="0029639D"/>
    <w:rsid w:val="00326F90"/>
    <w:rsid w:val="003C384A"/>
    <w:rsid w:val="0045173D"/>
    <w:rsid w:val="004C404B"/>
    <w:rsid w:val="00507628"/>
    <w:rsid w:val="00557FEC"/>
    <w:rsid w:val="005703B6"/>
    <w:rsid w:val="0057593B"/>
    <w:rsid w:val="006B2A6D"/>
    <w:rsid w:val="00796867"/>
    <w:rsid w:val="007A07AA"/>
    <w:rsid w:val="007E084D"/>
    <w:rsid w:val="0081353B"/>
    <w:rsid w:val="00853AFB"/>
    <w:rsid w:val="0086316C"/>
    <w:rsid w:val="008703C9"/>
    <w:rsid w:val="009905A2"/>
    <w:rsid w:val="00A73EBA"/>
    <w:rsid w:val="00AA1D8D"/>
    <w:rsid w:val="00AE3772"/>
    <w:rsid w:val="00B47730"/>
    <w:rsid w:val="00C713C0"/>
    <w:rsid w:val="00CB0664"/>
    <w:rsid w:val="00CB5A40"/>
    <w:rsid w:val="00D32200"/>
    <w:rsid w:val="00D54891"/>
    <w:rsid w:val="00D76507"/>
    <w:rsid w:val="00D83C17"/>
    <w:rsid w:val="00DF3AB4"/>
    <w:rsid w:val="00E331BA"/>
    <w:rsid w:val="00F12E87"/>
    <w:rsid w:val="00F42841"/>
    <w:rsid w:val="00F71D19"/>
    <w:rsid w:val="00FC693F"/>
    <w:rsid w:val="00FC7240"/>
    <w:rsid w:val="00FE6E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7B8BE3"/>
  <w14:defaultImageDpi w14:val="300"/>
  <w15:docId w15:val="{274BDD32-C1DB-47C0-82E2-D82F83056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3C9"/>
    <w:rPr>
      <w:rFonts w:ascii="Arial" w:hAnsi="Arial"/>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emaria.villalta@asamblea.go.cr" TargetMode="External"/><Relationship Id="rId13" Type="http://schemas.openxmlformats.org/officeDocument/2006/relationships/hyperlink" Target="mailto:meroman@asamblea.go.c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igrid.segura@asamblea.go.c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gardo.arayaa@asamblea.go.c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tonio.trejos@asamblea.go.cr" TargetMode="External"/><Relationship Id="rId4" Type="http://schemas.openxmlformats.org/officeDocument/2006/relationships/settings" Target="settings.xml"/><Relationship Id="rId9" Type="http://schemas.openxmlformats.org/officeDocument/2006/relationships/hyperlink" Target="mailto:vianey.mora@asamblea.go.c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350</Pages>
  <Words>113166</Words>
  <Characters>622419</Characters>
  <Application>Microsoft Office Word</Application>
  <DocSecurity>0</DocSecurity>
  <Lines>5186</Lines>
  <Paragraphs>1468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734117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Raúl García Fernández</cp:lastModifiedBy>
  <cp:revision>14</cp:revision>
  <dcterms:created xsi:type="dcterms:W3CDTF">2026-10-14T19:32:00Z</dcterms:created>
  <dcterms:modified xsi:type="dcterms:W3CDTF">2026-10-14T22:25:00Z</dcterms:modified>
  <cp:category/>
</cp:coreProperties>
</file>